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F38C7A" w14:textId="77777777" w:rsidR="00320A9C" w:rsidRPr="00320A9C" w:rsidRDefault="00320A9C" w:rsidP="00320A9C">
      <w:pPr>
        <w:spacing w:after="0" w:line="240" w:lineRule="auto"/>
        <w:jc w:val="right"/>
        <w:rPr>
          <w:rFonts w:ascii="Arial" w:hAnsi="Arial" w:cs="Arial"/>
          <w:b/>
          <w:sz w:val="28"/>
          <w:szCs w:val="28"/>
          <w:u w:val="single"/>
        </w:rPr>
      </w:pPr>
      <w:r w:rsidRPr="00320A9C">
        <w:rPr>
          <w:rFonts w:ascii="Arial" w:eastAsia="Calibri" w:hAnsi="Arial" w:cs="Arial"/>
          <w:b/>
          <w:noProof/>
          <w:sz w:val="28"/>
          <w:szCs w:val="28"/>
          <w:u w:val="single"/>
          <w:lang w:eastAsia="en-GB"/>
        </w:rPr>
        <w:drawing>
          <wp:anchor distT="0" distB="0" distL="114300" distR="114300" simplePos="0" relativeHeight="251661312" behindDoc="1" locked="0" layoutInCell="1" allowOverlap="1" wp14:anchorId="34937B28" wp14:editId="18E87265">
            <wp:simplePos x="0" y="0"/>
            <wp:positionH relativeFrom="column">
              <wp:posOffset>-195580</wp:posOffset>
            </wp:positionH>
            <wp:positionV relativeFrom="paragraph">
              <wp:posOffset>-215265</wp:posOffset>
            </wp:positionV>
            <wp:extent cx="1438275" cy="1438910"/>
            <wp:effectExtent l="0" t="0" r="9525" b="8890"/>
            <wp:wrapTight wrapText="bothSides">
              <wp:wrapPolygon edited="0">
                <wp:start x="0" y="0"/>
                <wp:lineTo x="0" y="21447"/>
                <wp:lineTo x="21457" y="21447"/>
                <wp:lineTo x="214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8275" cy="1438910"/>
                    </a:xfrm>
                    <a:prstGeom prst="rect">
                      <a:avLst/>
                    </a:prstGeom>
                    <a:noFill/>
                  </pic:spPr>
                </pic:pic>
              </a:graphicData>
            </a:graphic>
            <wp14:sizeRelH relativeFrom="page">
              <wp14:pctWidth>0</wp14:pctWidth>
            </wp14:sizeRelH>
            <wp14:sizeRelV relativeFrom="page">
              <wp14:pctHeight>0</wp14:pctHeight>
            </wp14:sizeRelV>
          </wp:anchor>
        </w:drawing>
      </w:r>
      <w:r w:rsidRPr="00320A9C">
        <w:rPr>
          <w:rFonts w:ascii="Arial" w:hAnsi="Arial" w:cs="Arial"/>
          <w:b/>
          <w:sz w:val="28"/>
          <w:szCs w:val="28"/>
          <w:u w:val="single"/>
        </w:rPr>
        <w:t>Redcar and Cleveland Borough Council</w:t>
      </w:r>
    </w:p>
    <w:p w14:paraId="37610282" w14:textId="77777777" w:rsidR="00320A9C" w:rsidRDefault="00320A9C" w:rsidP="00320A9C">
      <w:pPr>
        <w:spacing w:after="0" w:line="240" w:lineRule="auto"/>
        <w:jc w:val="right"/>
        <w:rPr>
          <w:rFonts w:ascii="Arial" w:hAnsi="Arial" w:cs="Arial"/>
          <w:b/>
          <w:sz w:val="28"/>
          <w:szCs w:val="28"/>
        </w:rPr>
      </w:pPr>
    </w:p>
    <w:p w14:paraId="1FA9F511" w14:textId="77777777" w:rsidR="00B721C6" w:rsidRPr="00320A9C" w:rsidRDefault="00942B44" w:rsidP="00320A9C">
      <w:pPr>
        <w:spacing w:after="0" w:line="240" w:lineRule="auto"/>
        <w:jc w:val="right"/>
        <w:rPr>
          <w:rFonts w:ascii="Arial" w:hAnsi="Arial" w:cs="Arial"/>
          <w:b/>
          <w:sz w:val="28"/>
          <w:szCs w:val="28"/>
          <w:u w:val="single"/>
        </w:rPr>
      </w:pPr>
      <w:r>
        <w:rPr>
          <w:rFonts w:ascii="Arial" w:hAnsi="Arial" w:cs="Arial"/>
          <w:b/>
          <w:sz w:val="28"/>
          <w:szCs w:val="28"/>
          <w:u w:val="single"/>
        </w:rPr>
        <w:t xml:space="preserve">Guidance for education settings </w:t>
      </w:r>
      <w:r w:rsidR="00322FEF">
        <w:rPr>
          <w:rFonts w:ascii="Arial" w:hAnsi="Arial" w:cs="Arial"/>
          <w:b/>
          <w:sz w:val="28"/>
          <w:szCs w:val="28"/>
          <w:u w:val="single"/>
        </w:rPr>
        <w:t xml:space="preserve">                                                                   </w:t>
      </w:r>
      <w:r>
        <w:rPr>
          <w:rFonts w:ascii="Arial" w:hAnsi="Arial" w:cs="Arial"/>
          <w:b/>
          <w:sz w:val="28"/>
          <w:szCs w:val="28"/>
          <w:u w:val="single"/>
        </w:rPr>
        <w:t xml:space="preserve">Process for the </w:t>
      </w:r>
      <w:r w:rsidR="006632D9">
        <w:rPr>
          <w:rFonts w:ascii="Arial" w:hAnsi="Arial" w:cs="Arial"/>
          <w:b/>
          <w:sz w:val="28"/>
          <w:szCs w:val="28"/>
          <w:u w:val="single"/>
        </w:rPr>
        <w:t>Annual Review of Education, Health and Care Plans</w:t>
      </w:r>
    </w:p>
    <w:p w14:paraId="562B5DB9" w14:textId="77777777" w:rsidR="00320A9C" w:rsidRDefault="00320A9C" w:rsidP="00247E08">
      <w:pPr>
        <w:spacing w:after="0" w:line="240" w:lineRule="auto"/>
        <w:rPr>
          <w:rFonts w:ascii="Arial" w:hAnsi="Arial" w:cs="Arial"/>
          <w:b/>
          <w:sz w:val="28"/>
          <w:szCs w:val="28"/>
        </w:rPr>
      </w:pPr>
    </w:p>
    <w:p w14:paraId="58B76629" w14:textId="77777777" w:rsidR="005F35D1" w:rsidRDefault="005F35D1" w:rsidP="00247E08">
      <w:pPr>
        <w:spacing w:after="0" w:line="240" w:lineRule="auto"/>
        <w:rPr>
          <w:rFonts w:ascii="Arial" w:hAnsi="Arial" w:cs="Arial"/>
          <w:b/>
          <w:sz w:val="24"/>
          <w:szCs w:val="24"/>
        </w:rPr>
      </w:pPr>
    </w:p>
    <w:p w14:paraId="64EC6B89" w14:textId="77777777" w:rsidR="00680A31" w:rsidRDefault="00680A31" w:rsidP="00247E08">
      <w:pPr>
        <w:spacing w:after="0" w:line="240" w:lineRule="auto"/>
        <w:rPr>
          <w:rFonts w:ascii="Arial" w:hAnsi="Arial" w:cs="Arial"/>
          <w:b/>
          <w:sz w:val="24"/>
          <w:szCs w:val="24"/>
        </w:rPr>
      </w:pPr>
    </w:p>
    <w:p w14:paraId="0ED71893" w14:textId="07B925D1" w:rsidR="006632D9" w:rsidRPr="00942B44" w:rsidRDefault="00942B44" w:rsidP="00247E08">
      <w:pPr>
        <w:spacing w:after="0" w:line="240" w:lineRule="auto"/>
        <w:rPr>
          <w:rFonts w:ascii="Arial" w:hAnsi="Arial" w:cs="Arial"/>
          <w:b/>
          <w:sz w:val="24"/>
          <w:szCs w:val="24"/>
        </w:rPr>
      </w:pPr>
      <w:r w:rsidRPr="00942B44">
        <w:rPr>
          <w:rFonts w:ascii="Arial" w:hAnsi="Arial" w:cs="Arial"/>
          <w:b/>
          <w:sz w:val="24"/>
          <w:szCs w:val="24"/>
        </w:rPr>
        <w:t>This guidance</w:t>
      </w:r>
      <w:r>
        <w:rPr>
          <w:rFonts w:ascii="Arial" w:hAnsi="Arial" w:cs="Arial"/>
          <w:b/>
          <w:sz w:val="24"/>
          <w:szCs w:val="24"/>
        </w:rPr>
        <w:t xml:space="preserve"> is based on the statutory requirements of the Children and Families Act 2014 and the SEND Code of Practice 2015.</w:t>
      </w:r>
      <w:r w:rsidR="005F35D1">
        <w:rPr>
          <w:rFonts w:ascii="Arial" w:hAnsi="Arial" w:cs="Arial"/>
          <w:b/>
          <w:sz w:val="24"/>
          <w:szCs w:val="24"/>
        </w:rPr>
        <w:t xml:space="preserve">  Professionals across education, health and care must co-operate with the local authority during reviews.</w:t>
      </w:r>
    </w:p>
    <w:p w14:paraId="6CD68588" w14:textId="77777777" w:rsidR="00907977" w:rsidRDefault="00907977" w:rsidP="00247E08">
      <w:pPr>
        <w:spacing w:after="0" w:line="240" w:lineRule="auto"/>
        <w:rPr>
          <w:rFonts w:ascii="Arial" w:hAnsi="Arial" w:cs="Arial"/>
          <w:b/>
          <w:sz w:val="28"/>
          <w:szCs w:val="28"/>
        </w:rPr>
      </w:pPr>
    </w:p>
    <w:tbl>
      <w:tblPr>
        <w:tblStyle w:val="TableGrid"/>
        <w:tblW w:w="0" w:type="auto"/>
        <w:tblLook w:val="04A0" w:firstRow="1" w:lastRow="0" w:firstColumn="1" w:lastColumn="0" w:noHBand="0" w:noVBand="1"/>
      </w:tblPr>
      <w:tblGrid>
        <w:gridCol w:w="943"/>
        <w:gridCol w:w="9251"/>
      </w:tblGrid>
      <w:tr w:rsidR="00FA0B18" w14:paraId="70CD246D" w14:textId="77777777" w:rsidTr="001C5421">
        <w:tc>
          <w:tcPr>
            <w:tcW w:w="959" w:type="dxa"/>
            <w:shd w:val="clear" w:color="auto" w:fill="D9D9D9" w:themeFill="background1" w:themeFillShade="D9"/>
          </w:tcPr>
          <w:p w14:paraId="7CCDB334" w14:textId="77777777" w:rsidR="00FA0B18" w:rsidRPr="00FA0B18" w:rsidRDefault="00FA0B18" w:rsidP="00FA0B18">
            <w:pPr>
              <w:pStyle w:val="ListParagraph"/>
              <w:numPr>
                <w:ilvl w:val="0"/>
                <w:numId w:val="10"/>
              </w:numPr>
              <w:jc w:val="right"/>
              <w:rPr>
                <w:rFonts w:ascii="Arial" w:hAnsi="Arial" w:cs="Arial"/>
                <w:b/>
                <w:sz w:val="24"/>
                <w:szCs w:val="24"/>
              </w:rPr>
            </w:pPr>
          </w:p>
        </w:tc>
        <w:tc>
          <w:tcPr>
            <w:tcW w:w="9461" w:type="dxa"/>
            <w:shd w:val="clear" w:color="auto" w:fill="D9D9D9" w:themeFill="background1" w:themeFillShade="D9"/>
          </w:tcPr>
          <w:p w14:paraId="7A60DB61" w14:textId="77777777" w:rsidR="00FA0B18" w:rsidRPr="00FA0B18" w:rsidRDefault="00FA0B18" w:rsidP="00B82B9F">
            <w:pPr>
              <w:rPr>
                <w:rFonts w:ascii="Arial" w:hAnsi="Arial" w:cs="Arial"/>
                <w:b/>
              </w:rPr>
            </w:pPr>
            <w:r w:rsidRPr="00FA0B18">
              <w:rPr>
                <w:rFonts w:ascii="Arial" w:hAnsi="Arial" w:cs="Arial"/>
                <w:b/>
              </w:rPr>
              <w:t>The start of the academic year</w:t>
            </w:r>
            <w:r w:rsidR="006B4F26">
              <w:rPr>
                <w:rFonts w:ascii="Arial" w:hAnsi="Arial" w:cs="Arial"/>
                <w:b/>
              </w:rPr>
              <w:t xml:space="preserve"> – the LA</w:t>
            </w:r>
          </w:p>
        </w:tc>
      </w:tr>
      <w:tr w:rsidR="00B82B9F" w14:paraId="072095F4" w14:textId="77777777" w:rsidTr="001C5421">
        <w:tc>
          <w:tcPr>
            <w:tcW w:w="959" w:type="dxa"/>
          </w:tcPr>
          <w:p w14:paraId="08FB641C" w14:textId="77777777" w:rsidR="00FA0B18" w:rsidRDefault="00FA0B18" w:rsidP="00FA0B18">
            <w:pPr>
              <w:jc w:val="right"/>
              <w:rPr>
                <w:rFonts w:ascii="Arial" w:hAnsi="Arial" w:cs="Arial"/>
                <w:b/>
                <w:sz w:val="24"/>
                <w:szCs w:val="24"/>
              </w:rPr>
            </w:pPr>
          </w:p>
          <w:p w14:paraId="2F3C390D" w14:textId="77777777" w:rsidR="00FA0B18" w:rsidRDefault="00FA0B18" w:rsidP="00FA0B18">
            <w:pPr>
              <w:jc w:val="right"/>
              <w:rPr>
                <w:rFonts w:ascii="Arial" w:hAnsi="Arial" w:cs="Arial"/>
                <w:b/>
                <w:sz w:val="24"/>
                <w:szCs w:val="24"/>
              </w:rPr>
            </w:pPr>
          </w:p>
          <w:p w14:paraId="34656803" w14:textId="77777777" w:rsidR="00FA0B18" w:rsidRDefault="00FA0B18" w:rsidP="00FA0B18">
            <w:pPr>
              <w:jc w:val="right"/>
              <w:rPr>
                <w:rFonts w:ascii="Arial" w:hAnsi="Arial" w:cs="Arial"/>
                <w:b/>
                <w:sz w:val="24"/>
                <w:szCs w:val="24"/>
              </w:rPr>
            </w:pPr>
          </w:p>
          <w:p w14:paraId="31540F16" w14:textId="77777777" w:rsidR="00FA0B18" w:rsidRDefault="00FA0B18" w:rsidP="001C5421">
            <w:pPr>
              <w:jc w:val="right"/>
              <w:rPr>
                <w:rFonts w:ascii="Arial" w:hAnsi="Arial" w:cs="Arial"/>
                <w:b/>
                <w:sz w:val="24"/>
                <w:szCs w:val="24"/>
              </w:rPr>
            </w:pPr>
          </w:p>
          <w:p w14:paraId="00D38A39" w14:textId="77777777" w:rsidR="001C5421" w:rsidRPr="001C5421" w:rsidRDefault="001C5421" w:rsidP="001C5421">
            <w:pPr>
              <w:jc w:val="right"/>
              <w:rPr>
                <w:rFonts w:ascii="Arial" w:hAnsi="Arial" w:cs="Arial"/>
                <w:b/>
                <w:sz w:val="24"/>
                <w:szCs w:val="24"/>
              </w:rPr>
            </w:pPr>
          </w:p>
        </w:tc>
        <w:tc>
          <w:tcPr>
            <w:tcW w:w="9461" w:type="dxa"/>
          </w:tcPr>
          <w:p w14:paraId="4E6A6E45" w14:textId="77777777" w:rsidR="00066A12" w:rsidRDefault="00FA0B18" w:rsidP="001C5421">
            <w:pPr>
              <w:rPr>
                <w:rFonts w:ascii="Arial" w:hAnsi="Arial" w:cs="Arial"/>
              </w:rPr>
            </w:pPr>
            <w:r w:rsidRPr="001C5421">
              <w:rPr>
                <w:rFonts w:ascii="Arial" w:hAnsi="Arial" w:cs="Arial"/>
              </w:rPr>
              <w:t>Each September</w:t>
            </w:r>
            <w:r w:rsidR="00B82B9F" w:rsidRPr="001C5421">
              <w:rPr>
                <w:rFonts w:ascii="Arial" w:hAnsi="Arial" w:cs="Arial"/>
              </w:rPr>
              <w:t xml:space="preserve"> the local authority will provide a list of all children and young people (CYP) who will require a review of their Education, Health and Care Plan (EHCP) in the forthcoming year to all </w:t>
            </w:r>
            <w:r w:rsidR="002F11A3" w:rsidRPr="001C5421">
              <w:rPr>
                <w:rFonts w:ascii="Arial" w:hAnsi="Arial" w:cs="Arial"/>
              </w:rPr>
              <w:t>head teachers</w:t>
            </w:r>
            <w:r w:rsidR="00B82B9F" w:rsidRPr="001C5421">
              <w:rPr>
                <w:rFonts w:ascii="Arial" w:hAnsi="Arial" w:cs="Arial"/>
              </w:rPr>
              <w:t>, principals of schools, colleges and other institutions attended by CYP with an EHCP.</w:t>
            </w:r>
            <w:r w:rsidR="00066A12">
              <w:rPr>
                <w:rFonts w:ascii="Arial" w:hAnsi="Arial" w:cs="Arial"/>
              </w:rPr>
              <w:t xml:space="preserve">  </w:t>
            </w:r>
            <w:r w:rsidR="00066A12" w:rsidRPr="00066A12">
              <w:rPr>
                <w:rFonts w:ascii="Arial" w:hAnsi="Arial" w:cs="Arial"/>
              </w:rPr>
              <w:t>This information will also be shared with the CCG and Social Care.</w:t>
            </w:r>
          </w:p>
          <w:p w14:paraId="6415246F" w14:textId="77777777" w:rsidR="00066A12" w:rsidRDefault="00066A12" w:rsidP="001C5421">
            <w:pPr>
              <w:rPr>
                <w:rFonts w:ascii="Arial" w:hAnsi="Arial" w:cs="Arial"/>
              </w:rPr>
            </w:pPr>
          </w:p>
          <w:p w14:paraId="61E586D9" w14:textId="0ADE949A" w:rsidR="00FA0B18" w:rsidRDefault="00066A12" w:rsidP="001C5421">
            <w:pPr>
              <w:rPr>
                <w:rFonts w:ascii="Arial" w:hAnsi="Arial" w:cs="Arial"/>
              </w:rPr>
            </w:pPr>
            <w:r>
              <w:rPr>
                <w:rFonts w:ascii="Arial" w:hAnsi="Arial" w:cs="Arial"/>
              </w:rPr>
              <w:t>The SEN</w:t>
            </w:r>
            <w:r w:rsidR="00E7713F">
              <w:rPr>
                <w:rFonts w:ascii="Arial" w:hAnsi="Arial" w:cs="Arial"/>
              </w:rPr>
              <w:t>D Service</w:t>
            </w:r>
            <w:r>
              <w:rPr>
                <w:rFonts w:ascii="Arial" w:hAnsi="Arial" w:cs="Arial"/>
              </w:rPr>
              <w:t xml:space="preserve"> will liaise with education settings on a termly basis to ensure that meetings have been arranged in accordance with the required timescales.</w:t>
            </w:r>
          </w:p>
          <w:p w14:paraId="3D7330B6" w14:textId="77777777" w:rsidR="00FA0B18" w:rsidRPr="00B82B9F" w:rsidRDefault="00FA0B18" w:rsidP="00066A12">
            <w:pPr>
              <w:rPr>
                <w:rFonts w:ascii="Arial" w:hAnsi="Arial" w:cs="Arial"/>
              </w:rPr>
            </w:pPr>
          </w:p>
        </w:tc>
      </w:tr>
      <w:tr w:rsidR="00B82B9F" w14:paraId="150F839C" w14:textId="77777777" w:rsidTr="001C5421">
        <w:tc>
          <w:tcPr>
            <w:tcW w:w="959" w:type="dxa"/>
            <w:shd w:val="clear" w:color="auto" w:fill="D9D9D9" w:themeFill="background1" w:themeFillShade="D9"/>
          </w:tcPr>
          <w:p w14:paraId="08257155" w14:textId="77777777" w:rsidR="00B82B9F" w:rsidRPr="00FA0B18" w:rsidRDefault="00B82B9F" w:rsidP="00FA0B18">
            <w:pPr>
              <w:pStyle w:val="ListParagraph"/>
              <w:numPr>
                <w:ilvl w:val="0"/>
                <w:numId w:val="10"/>
              </w:numPr>
              <w:jc w:val="right"/>
              <w:rPr>
                <w:rFonts w:ascii="Arial" w:hAnsi="Arial" w:cs="Arial"/>
                <w:b/>
              </w:rPr>
            </w:pPr>
          </w:p>
        </w:tc>
        <w:tc>
          <w:tcPr>
            <w:tcW w:w="9461" w:type="dxa"/>
            <w:shd w:val="clear" w:color="auto" w:fill="D9D9D9" w:themeFill="background1" w:themeFillShade="D9"/>
          </w:tcPr>
          <w:p w14:paraId="1F798C7E" w14:textId="77777777" w:rsidR="00B82B9F" w:rsidRPr="00FA0B18" w:rsidRDefault="00FA0B18" w:rsidP="00FA0B18">
            <w:pPr>
              <w:rPr>
                <w:rFonts w:ascii="Arial" w:hAnsi="Arial" w:cs="Arial"/>
                <w:b/>
              </w:rPr>
            </w:pPr>
            <w:r w:rsidRPr="00FA0B18">
              <w:rPr>
                <w:rFonts w:ascii="Arial" w:hAnsi="Arial" w:cs="Arial"/>
                <w:b/>
              </w:rPr>
              <w:t xml:space="preserve">Prior to the </w:t>
            </w:r>
            <w:r w:rsidR="001C5421">
              <w:rPr>
                <w:rFonts w:ascii="Arial" w:hAnsi="Arial" w:cs="Arial"/>
                <w:b/>
              </w:rPr>
              <w:t xml:space="preserve">annual review </w:t>
            </w:r>
            <w:r w:rsidRPr="00FA0B18">
              <w:rPr>
                <w:rFonts w:ascii="Arial" w:hAnsi="Arial" w:cs="Arial"/>
                <w:b/>
              </w:rPr>
              <w:t>meeting</w:t>
            </w:r>
            <w:r w:rsidR="006B4F26">
              <w:rPr>
                <w:rFonts w:ascii="Arial" w:hAnsi="Arial" w:cs="Arial"/>
                <w:b/>
              </w:rPr>
              <w:t xml:space="preserve"> – the education setting</w:t>
            </w:r>
          </w:p>
        </w:tc>
      </w:tr>
      <w:tr w:rsidR="00B82B9F" w14:paraId="31415E45" w14:textId="77777777" w:rsidTr="001C5421">
        <w:tc>
          <w:tcPr>
            <w:tcW w:w="959" w:type="dxa"/>
          </w:tcPr>
          <w:p w14:paraId="0F38B63E" w14:textId="77777777" w:rsidR="00B82B9F" w:rsidRDefault="00B82B9F" w:rsidP="00247E08">
            <w:pPr>
              <w:rPr>
                <w:rFonts w:ascii="Arial" w:hAnsi="Arial" w:cs="Arial"/>
                <w:b/>
                <w:sz w:val="28"/>
                <w:szCs w:val="28"/>
              </w:rPr>
            </w:pPr>
          </w:p>
        </w:tc>
        <w:tc>
          <w:tcPr>
            <w:tcW w:w="9461" w:type="dxa"/>
          </w:tcPr>
          <w:p w14:paraId="4FBD3387" w14:textId="17F79637" w:rsidR="00872190" w:rsidRDefault="00322FEF" w:rsidP="001C5421">
            <w:pPr>
              <w:rPr>
                <w:rFonts w:ascii="Arial" w:hAnsi="Arial" w:cs="Arial"/>
              </w:rPr>
            </w:pPr>
            <w:r w:rsidRPr="00322FEF">
              <w:rPr>
                <w:rFonts w:ascii="Arial" w:hAnsi="Arial" w:cs="Arial"/>
              </w:rPr>
              <w:t xml:space="preserve">The LA requires that the education setting will convene and hold the annual review meeting within 12 months of the previous </w:t>
            </w:r>
            <w:r>
              <w:rPr>
                <w:rFonts w:ascii="Arial" w:hAnsi="Arial" w:cs="Arial"/>
              </w:rPr>
              <w:t xml:space="preserve">annual review </w:t>
            </w:r>
            <w:r w:rsidRPr="00322FEF">
              <w:rPr>
                <w:rFonts w:ascii="Arial" w:hAnsi="Arial" w:cs="Arial"/>
              </w:rPr>
              <w:t xml:space="preserve">meeting. </w:t>
            </w:r>
            <w:r w:rsidR="005F35D1">
              <w:rPr>
                <w:rFonts w:ascii="Arial" w:hAnsi="Arial" w:cs="Arial"/>
              </w:rPr>
              <w:t>(</w:t>
            </w:r>
            <w:r w:rsidR="00066A12">
              <w:rPr>
                <w:rFonts w:ascii="Arial" w:hAnsi="Arial" w:cs="Arial"/>
              </w:rPr>
              <w:t>For children 0 – 5 it is recommended that interim reviews are undertaken more frequently i.e. termly or every 6 months</w:t>
            </w:r>
            <w:r w:rsidR="005F35D1">
              <w:rPr>
                <w:rFonts w:ascii="Arial" w:hAnsi="Arial" w:cs="Arial"/>
              </w:rPr>
              <w:t>)</w:t>
            </w:r>
            <w:r w:rsidR="00066A12">
              <w:rPr>
                <w:rFonts w:ascii="Arial" w:hAnsi="Arial" w:cs="Arial"/>
              </w:rPr>
              <w:t>.</w:t>
            </w:r>
          </w:p>
          <w:p w14:paraId="104A6D49" w14:textId="77777777" w:rsidR="00680A31" w:rsidRDefault="00680A31" w:rsidP="001C5421">
            <w:pPr>
              <w:rPr>
                <w:rFonts w:ascii="Arial" w:hAnsi="Arial" w:cs="Arial"/>
              </w:rPr>
            </w:pPr>
          </w:p>
          <w:p w14:paraId="286EA15B" w14:textId="77777777" w:rsidR="00265CA5" w:rsidRPr="00265CA5" w:rsidRDefault="00265CA5" w:rsidP="00265CA5">
            <w:pPr>
              <w:rPr>
                <w:rFonts w:ascii="Arial" w:hAnsi="Arial" w:cs="Arial"/>
              </w:rPr>
            </w:pPr>
            <w:r w:rsidRPr="00265CA5">
              <w:rPr>
                <w:rFonts w:ascii="Arial" w:hAnsi="Arial" w:cs="Arial"/>
              </w:rPr>
              <w:t xml:space="preserve">The education setting </w:t>
            </w:r>
            <w:r w:rsidRPr="00265CA5">
              <w:rPr>
                <w:rFonts w:ascii="Arial" w:hAnsi="Arial" w:cs="Arial"/>
                <w:b/>
                <w:bCs/>
              </w:rPr>
              <w:t xml:space="preserve">must </w:t>
            </w:r>
            <w:r w:rsidRPr="00265CA5">
              <w:rPr>
                <w:rFonts w:ascii="Arial" w:hAnsi="Arial" w:cs="Arial"/>
              </w:rPr>
              <w:t>seek advice and information about the CYP four weeks prior to the meeting from all parties invited professionals involved. Professionals must send this to the educational setting within two weeks. The educational setting must distribute copie</w:t>
            </w:r>
            <w:r w:rsidR="00452678">
              <w:rPr>
                <w:rFonts w:ascii="Arial" w:hAnsi="Arial" w:cs="Arial"/>
              </w:rPr>
              <w:t>s</w:t>
            </w:r>
            <w:r w:rsidRPr="00265CA5">
              <w:rPr>
                <w:rFonts w:ascii="Arial" w:hAnsi="Arial" w:cs="Arial"/>
              </w:rPr>
              <w:t xml:space="preserve"> of the reports for the review, along with educational reports to all those attending at least two weeks before the meeting.</w:t>
            </w:r>
          </w:p>
          <w:p w14:paraId="3730D555" w14:textId="77777777" w:rsidR="00066A12" w:rsidRDefault="00066A12" w:rsidP="001C5421">
            <w:pPr>
              <w:rPr>
                <w:rFonts w:ascii="Arial" w:hAnsi="Arial" w:cs="Arial"/>
              </w:rPr>
            </w:pPr>
          </w:p>
          <w:p w14:paraId="6774FD56" w14:textId="77777777" w:rsidR="00066A12" w:rsidRDefault="00066A12" w:rsidP="001C5421">
            <w:pPr>
              <w:rPr>
                <w:rFonts w:ascii="Arial" w:hAnsi="Arial" w:cs="Arial"/>
              </w:rPr>
            </w:pPr>
            <w:r>
              <w:rPr>
                <w:rFonts w:ascii="Arial" w:hAnsi="Arial" w:cs="Arial"/>
              </w:rPr>
              <w:t xml:space="preserve">The views of the child or young person and parents/carers must also be sought. </w:t>
            </w:r>
          </w:p>
          <w:p w14:paraId="0E27B5D2" w14:textId="77777777" w:rsidR="00872190" w:rsidRDefault="00872190" w:rsidP="001C5421">
            <w:pPr>
              <w:rPr>
                <w:rFonts w:ascii="Arial" w:hAnsi="Arial" w:cs="Arial"/>
              </w:rPr>
            </w:pPr>
          </w:p>
          <w:p w14:paraId="2476EA25" w14:textId="77777777" w:rsidR="00B82B9F" w:rsidRDefault="001C5421" w:rsidP="001C5421">
            <w:pPr>
              <w:rPr>
                <w:rFonts w:ascii="Arial" w:hAnsi="Arial" w:cs="Arial"/>
              </w:rPr>
            </w:pPr>
            <w:r w:rsidRPr="001C5421">
              <w:rPr>
                <w:rFonts w:ascii="Arial" w:hAnsi="Arial" w:cs="Arial"/>
              </w:rPr>
              <w:t xml:space="preserve">The education setting will send out invitations giving at least </w:t>
            </w:r>
            <w:r w:rsidRPr="0053667E">
              <w:rPr>
                <w:rFonts w:ascii="Arial" w:hAnsi="Arial" w:cs="Arial"/>
                <w:b/>
              </w:rPr>
              <w:t>two weeks’</w:t>
            </w:r>
            <w:r w:rsidRPr="001C5421">
              <w:rPr>
                <w:rFonts w:ascii="Arial" w:hAnsi="Arial" w:cs="Arial"/>
              </w:rPr>
              <w:t xml:space="preserve"> notice of the date of the meeting and </w:t>
            </w:r>
            <w:r w:rsidRPr="00907977">
              <w:rPr>
                <w:rFonts w:ascii="Arial" w:hAnsi="Arial" w:cs="Arial"/>
                <w:b/>
                <w:u w:val="single"/>
              </w:rPr>
              <w:t>must</w:t>
            </w:r>
            <w:r w:rsidRPr="001C5421">
              <w:rPr>
                <w:rFonts w:ascii="Arial" w:hAnsi="Arial" w:cs="Arial"/>
              </w:rPr>
              <w:t xml:space="preserve"> invite:</w:t>
            </w:r>
          </w:p>
          <w:p w14:paraId="01015168" w14:textId="77777777" w:rsidR="00907977" w:rsidRPr="001C5421" w:rsidRDefault="00907977" w:rsidP="001C5421">
            <w:pPr>
              <w:rPr>
                <w:rFonts w:ascii="Arial" w:hAnsi="Arial" w:cs="Arial"/>
              </w:rPr>
            </w:pPr>
          </w:p>
          <w:p w14:paraId="2A9CAC98" w14:textId="77777777" w:rsidR="001C5421" w:rsidRPr="001C5421" w:rsidRDefault="001C5421" w:rsidP="001C5421">
            <w:pPr>
              <w:pStyle w:val="ListParagraph"/>
              <w:numPr>
                <w:ilvl w:val="0"/>
                <w:numId w:val="17"/>
              </w:numPr>
              <w:rPr>
                <w:rFonts w:ascii="Arial" w:hAnsi="Arial" w:cs="Arial"/>
              </w:rPr>
            </w:pPr>
            <w:r w:rsidRPr="001C5421">
              <w:rPr>
                <w:rFonts w:ascii="Arial" w:hAnsi="Arial" w:cs="Arial"/>
              </w:rPr>
              <w:t xml:space="preserve">The child’s parents </w:t>
            </w:r>
            <w:r w:rsidR="006B4F26">
              <w:rPr>
                <w:rFonts w:ascii="Arial" w:hAnsi="Arial" w:cs="Arial"/>
              </w:rPr>
              <w:t>and/</w:t>
            </w:r>
            <w:r w:rsidRPr="001C5421">
              <w:rPr>
                <w:rFonts w:ascii="Arial" w:hAnsi="Arial" w:cs="Arial"/>
              </w:rPr>
              <w:t>or young person</w:t>
            </w:r>
          </w:p>
          <w:p w14:paraId="57960455" w14:textId="77777777" w:rsidR="001C5421" w:rsidRPr="001C5421" w:rsidRDefault="001C5421" w:rsidP="001C5421">
            <w:pPr>
              <w:pStyle w:val="ListParagraph"/>
              <w:numPr>
                <w:ilvl w:val="0"/>
                <w:numId w:val="17"/>
              </w:numPr>
              <w:rPr>
                <w:rFonts w:ascii="Arial" w:hAnsi="Arial" w:cs="Arial"/>
              </w:rPr>
            </w:pPr>
            <w:r w:rsidRPr="001C5421">
              <w:rPr>
                <w:rFonts w:ascii="Arial" w:hAnsi="Arial" w:cs="Arial"/>
              </w:rPr>
              <w:t>A representative of the school</w:t>
            </w:r>
          </w:p>
          <w:p w14:paraId="3131104D" w14:textId="77777777" w:rsidR="001C5421" w:rsidRPr="001C5421" w:rsidRDefault="001C5421" w:rsidP="001C5421">
            <w:pPr>
              <w:pStyle w:val="ListParagraph"/>
              <w:numPr>
                <w:ilvl w:val="0"/>
                <w:numId w:val="17"/>
              </w:numPr>
              <w:rPr>
                <w:rFonts w:ascii="Arial" w:hAnsi="Arial" w:cs="Arial"/>
              </w:rPr>
            </w:pPr>
            <w:r w:rsidRPr="001C5421">
              <w:rPr>
                <w:rFonts w:ascii="Arial" w:hAnsi="Arial" w:cs="Arial"/>
              </w:rPr>
              <w:t>A LA SEN Officer</w:t>
            </w:r>
          </w:p>
          <w:p w14:paraId="424B2CD8" w14:textId="77777777" w:rsidR="001C5421" w:rsidRPr="001C5421" w:rsidRDefault="001C5421" w:rsidP="001C5421">
            <w:pPr>
              <w:pStyle w:val="ListParagraph"/>
              <w:numPr>
                <w:ilvl w:val="0"/>
                <w:numId w:val="17"/>
              </w:numPr>
              <w:rPr>
                <w:rFonts w:ascii="Arial" w:hAnsi="Arial" w:cs="Arial"/>
              </w:rPr>
            </w:pPr>
            <w:r w:rsidRPr="001C5421">
              <w:rPr>
                <w:rFonts w:ascii="Arial" w:hAnsi="Arial" w:cs="Arial"/>
              </w:rPr>
              <w:t>A health service representative</w:t>
            </w:r>
          </w:p>
          <w:p w14:paraId="59043043" w14:textId="77777777" w:rsidR="001C5421" w:rsidRPr="001C5421" w:rsidRDefault="001C5421" w:rsidP="001C5421">
            <w:pPr>
              <w:pStyle w:val="ListParagraph"/>
              <w:numPr>
                <w:ilvl w:val="0"/>
                <w:numId w:val="17"/>
              </w:numPr>
              <w:rPr>
                <w:rFonts w:ascii="Arial" w:hAnsi="Arial" w:cs="Arial"/>
              </w:rPr>
            </w:pPr>
            <w:r w:rsidRPr="001C5421">
              <w:rPr>
                <w:rFonts w:ascii="Arial" w:hAnsi="Arial" w:cs="Arial"/>
              </w:rPr>
              <w:t>A LA Social Care representative</w:t>
            </w:r>
          </w:p>
          <w:p w14:paraId="10BC535C" w14:textId="77777777" w:rsidR="001C5421" w:rsidRPr="001C5421" w:rsidRDefault="001C5421" w:rsidP="001C5421">
            <w:pPr>
              <w:pStyle w:val="ListParagraph"/>
              <w:numPr>
                <w:ilvl w:val="0"/>
                <w:numId w:val="17"/>
              </w:numPr>
              <w:rPr>
                <w:rFonts w:ascii="Arial" w:hAnsi="Arial" w:cs="Arial"/>
              </w:rPr>
            </w:pPr>
            <w:r w:rsidRPr="001C5421">
              <w:rPr>
                <w:rFonts w:ascii="Arial" w:hAnsi="Arial" w:cs="Arial"/>
              </w:rPr>
              <w:t>The School Nurse</w:t>
            </w:r>
          </w:p>
          <w:p w14:paraId="23D69BCF" w14:textId="77777777" w:rsidR="00907977" w:rsidRPr="00872190" w:rsidRDefault="001C5421" w:rsidP="001C5421">
            <w:pPr>
              <w:pStyle w:val="ListParagraph"/>
              <w:numPr>
                <w:ilvl w:val="0"/>
                <w:numId w:val="17"/>
              </w:numPr>
              <w:rPr>
                <w:rFonts w:ascii="Arial" w:hAnsi="Arial" w:cs="Arial"/>
                <w:b/>
              </w:rPr>
            </w:pPr>
            <w:r w:rsidRPr="00872190">
              <w:rPr>
                <w:rFonts w:ascii="Arial" w:hAnsi="Arial" w:cs="Arial"/>
              </w:rPr>
              <w:t>Other relevant individuals</w:t>
            </w:r>
          </w:p>
          <w:p w14:paraId="7B240E31" w14:textId="77777777" w:rsidR="00872190" w:rsidRPr="001C5421" w:rsidRDefault="00872190" w:rsidP="00872190">
            <w:pPr>
              <w:rPr>
                <w:rFonts w:ascii="Arial" w:hAnsi="Arial" w:cs="Arial"/>
                <w:b/>
              </w:rPr>
            </w:pPr>
          </w:p>
        </w:tc>
      </w:tr>
      <w:tr w:rsidR="00B82B9F" w14:paraId="5AE4C8EE" w14:textId="77777777" w:rsidTr="006B4F26">
        <w:tc>
          <w:tcPr>
            <w:tcW w:w="959" w:type="dxa"/>
            <w:shd w:val="clear" w:color="auto" w:fill="D9D9D9" w:themeFill="background1" w:themeFillShade="D9"/>
          </w:tcPr>
          <w:p w14:paraId="33CA4945" w14:textId="77777777" w:rsidR="00B82B9F" w:rsidRPr="006B4F26" w:rsidRDefault="00907977" w:rsidP="00907977">
            <w:pPr>
              <w:jc w:val="right"/>
              <w:rPr>
                <w:rFonts w:ascii="Arial" w:hAnsi="Arial" w:cs="Arial"/>
                <w:b/>
              </w:rPr>
            </w:pPr>
            <w:r w:rsidRPr="006B4F26">
              <w:rPr>
                <w:rFonts w:ascii="Arial" w:hAnsi="Arial" w:cs="Arial"/>
                <w:b/>
              </w:rPr>
              <w:t>3.</w:t>
            </w:r>
          </w:p>
        </w:tc>
        <w:tc>
          <w:tcPr>
            <w:tcW w:w="9461" w:type="dxa"/>
            <w:shd w:val="clear" w:color="auto" w:fill="D9D9D9" w:themeFill="background1" w:themeFillShade="D9"/>
          </w:tcPr>
          <w:p w14:paraId="7269AB7D" w14:textId="77777777" w:rsidR="00B82B9F" w:rsidRPr="006B4F26" w:rsidRDefault="006B4F26" w:rsidP="00247E08">
            <w:pPr>
              <w:rPr>
                <w:rFonts w:ascii="Arial" w:hAnsi="Arial" w:cs="Arial"/>
                <w:b/>
              </w:rPr>
            </w:pPr>
            <w:r w:rsidRPr="006B4F26">
              <w:rPr>
                <w:rFonts w:ascii="Arial" w:hAnsi="Arial" w:cs="Arial"/>
                <w:b/>
              </w:rPr>
              <w:t>At the meeting</w:t>
            </w:r>
            <w:r>
              <w:rPr>
                <w:rFonts w:ascii="Arial" w:hAnsi="Arial" w:cs="Arial"/>
                <w:b/>
              </w:rPr>
              <w:t xml:space="preserve"> – the education setting</w:t>
            </w:r>
          </w:p>
        </w:tc>
      </w:tr>
      <w:tr w:rsidR="00B82B9F" w14:paraId="096D8DE0" w14:textId="77777777" w:rsidTr="001C5421">
        <w:tc>
          <w:tcPr>
            <w:tcW w:w="959" w:type="dxa"/>
          </w:tcPr>
          <w:p w14:paraId="15FD294E" w14:textId="77777777" w:rsidR="00B82B9F" w:rsidRDefault="00B82B9F" w:rsidP="00247E08">
            <w:pPr>
              <w:rPr>
                <w:rFonts w:ascii="Arial" w:hAnsi="Arial" w:cs="Arial"/>
                <w:b/>
                <w:sz w:val="28"/>
                <w:szCs w:val="28"/>
              </w:rPr>
            </w:pPr>
          </w:p>
        </w:tc>
        <w:tc>
          <w:tcPr>
            <w:tcW w:w="9461" w:type="dxa"/>
          </w:tcPr>
          <w:p w14:paraId="2C265CD2" w14:textId="77777777" w:rsidR="00B82B9F" w:rsidRDefault="006B4F26" w:rsidP="006B4F26">
            <w:pPr>
              <w:rPr>
                <w:rFonts w:ascii="Arial" w:hAnsi="Arial" w:cs="Arial"/>
              </w:rPr>
            </w:pPr>
            <w:r w:rsidRPr="006B4F26">
              <w:rPr>
                <w:rFonts w:ascii="Arial" w:hAnsi="Arial" w:cs="Arial"/>
              </w:rPr>
              <w:t xml:space="preserve">The meeting </w:t>
            </w:r>
            <w:r w:rsidRPr="006B4F26">
              <w:rPr>
                <w:rFonts w:ascii="Arial" w:hAnsi="Arial" w:cs="Arial"/>
                <w:b/>
                <w:u w:val="single"/>
              </w:rPr>
              <w:t>must</w:t>
            </w:r>
            <w:r w:rsidRPr="006B4F26">
              <w:rPr>
                <w:rFonts w:ascii="Arial" w:hAnsi="Arial" w:cs="Arial"/>
              </w:rPr>
              <w:t xml:space="preserve"> focus on the CYP person’s progress towards achieving the outcomes specified in the EHC</w:t>
            </w:r>
            <w:r>
              <w:rPr>
                <w:rFonts w:ascii="Arial" w:hAnsi="Arial" w:cs="Arial"/>
              </w:rPr>
              <w:t>P and on what changes might need to be made to the support that is provided to help them achieve those outcomes, or whether changes are needed to the outcomes themselves.</w:t>
            </w:r>
            <w:r w:rsidR="002F11A3">
              <w:rPr>
                <w:rFonts w:ascii="Arial" w:hAnsi="Arial" w:cs="Arial"/>
              </w:rPr>
              <w:t xml:space="preserve">  </w:t>
            </w:r>
            <w:r>
              <w:rPr>
                <w:rFonts w:ascii="Arial" w:hAnsi="Arial" w:cs="Arial"/>
              </w:rPr>
              <w:t>Children, parents and young people should be supported to engage fully in the review meeting.</w:t>
            </w:r>
          </w:p>
          <w:p w14:paraId="56C3A2B4" w14:textId="77777777" w:rsidR="005F35D1" w:rsidRDefault="005F35D1" w:rsidP="006B4F26">
            <w:pPr>
              <w:rPr>
                <w:rFonts w:ascii="Arial" w:hAnsi="Arial" w:cs="Arial"/>
              </w:rPr>
            </w:pPr>
          </w:p>
          <w:p w14:paraId="07E071E9" w14:textId="77777777" w:rsidR="00680A31" w:rsidRDefault="005F35D1" w:rsidP="006B4F26">
            <w:pPr>
              <w:rPr>
                <w:rFonts w:ascii="Arial" w:hAnsi="Arial" w:cs="Arial"/>
              </w:rPr>
            </w:pPr>
            <w:r>
              <w:rPr>
                <w:rFonts w:ascii="Arial" w:hAnsi="Arial" w:cs="Arial"/>
              </w:rPr>
              <w:t xml:space="preserve">The review </w:t>
            </w:r>
            <w:r w:rsidRPr="005F35D1">
              <w:rPr>
                <w:rFonts w:ascii="Arial" w:hAnsi="Arial" w:cs="Arial"/>
                <w:b/>
                <w:u w:val="single"/>
              </w:rPr>
              <w:t>must</w:t>
            </w:r>
            <w:r>
              <w:rPr>
                <w:rFonts w:ascii="Arial" w:hAnsi="Arial" w:cs="Arial"/>
              </w:rPr>
              <w:t xml:space="preserve"> focus on the child or young person’s progress towards achieving the outcomes specified in the EHC plan.  The review </w:t>
            </w:r>
            <w:r w:rsidRPr="002F11A3">
              <w:rPr>
                <w:rFonts w:ascii="Arial" w:hAnsi="Arial" w:cs="Arial"/>
                <w:b/>
              </w:rPr>
              <w:t xml:space="preserve">must </w:t>
            </w:r>
            <w:r>
              <w:rPr>
                <w:rFonts w:ascii="Arial" w:hAnsi="Arial" w:cs="Arial"/>
              </w:rPr>
              <w:t xml:space="preserve">consider whether these outcomes and supporting targets remain appropriate.  </w:t>
            </w:r>
            <w:r w:rsidR="002F11A3">
              <w:rPr>
                <w:rFonts w:ascii="Arial" w:hAnsi="Arial" w:cs="Arial"/>
              </w:rPr>
              <w:t>New targets should be set for the coming year</w:t>
            </w:r>
            <w:r w:rsidR="00E7713F">
              <w:rPr>
                <w:rFonts w:ascii="Arial" w:hAnsi="Arial" w:cs="Arial"/>
              </w:rPr>
              <w:t>, including longer term targets</w:t>
            </w:r>
            <w:r w:rsidR="002F11A3">
              <w:rPr>
                <w:rFonts w:ascii="Arial" w:hAnsi="Arial" w:cs="Arial"/>
              </w:rPr>
              <w:t xml:space="preserve"> and where appropriate, agree new outcomes.</w:t>
            </w:r>
            <w:r w:rsidR="00E7713F">
              <w:rPr>
                <w:rFonts w:ascii="Arial" w:hAnsi="Arial" w:cs="Arial"/>
              </w:rPr>
              <w:t xml:space="preserve"> </w:t>
            </w:r>
          </w:p>
          <w:p w14:paraId="4FD6CDCD" w14:textId="487EBB01" w:rsidR="00E7713F" w:rsidRDefault="00E7713F" w:rsidP="006B4F26">
            <w:pPr>
              <w:rPr>
                <w:rFonts w:ascii="Arial" w:hAnsi="Arial" w:cs="Arial"/>
              </w:rPr>
            </w:pPr>
            <w:r>
              <w:rPr>
                <w:rFonts w:ascii="Arial" w:hAnsi="Arial" w:cs="Arial"/>
              </w:rPr>
              <w:lastRenderedPageBreak/>
              <w:t>Please complete the AR1 form and complete tracked changes on the EHCP document. For those CYP from Year 9 upwards please complete the PFA1 form also.</w:t>
            </w:r>
          </w:p>
          <w:p w14:paraId="7EA21007" w14:textId="77777777" w:rsidR="002F11A3" w:rsidRDefault="002F11A3" w:rsidP="006B4F26">
            <w:pPr>
              <w:rPr>
                <w:rFonts w:ascii="Arial" w:hAnsi="Arial" w:cs="Arial"/>
              </w:rPr>
            </w:pPr>
          </w:p>
          <w:p w14:paraId="5F0F7C08" w14:textId="77777777" w:rsidR="005F35D1" w:rsidRDefault="002F11A3" w:rsidP="002F11A3">
            <w:pPr>
              <w:rPr>
                <w:rFonts w:ascii="Arial" w:hAnsi="Arial" w:cs="Arial"/>
              </w:rPr>
            </w:pPr>
            <w:r>
              <w:rPr>
                <w:rFonts w:ascii="Arial" w:hAnsi="Arial" w:cs="Arial"/>
              </w:rPr>
              <w:t xml:space="preserve">Review </w:t>
            </w:r>
            <w:r w:rsidR="005F35D1">
              <w:rPr>
                <w:rFonts w:ascii="Arial" w:hAnsi="Arial" w:cs="Arial"/>
              </w:rPr>
              <w:t>of the EHC plan should include the review of any existing Personal Budget or direct payment arrangements.</w:t>
            </w:r>
          </w:p>
          <w:p w14:paraId="2A4DE597" w14:textId="40D8FA84" w:rsidR="00680A31" w:rsidRPr="006B4F26" w:rsidRDefault="00680A31" w:rsidP="002F11A3">
            <w:pPr>
              <w:rPr>
                <w:rFonts w:ascii="Arial" w:hAnsi="Arial" w:cs="Arial"/>
              </w:rPr>
            </w:pPr>
          </w:p>
        </w:tc>
      </w:tr>
      <w:tr w:rsidR="00B82B9F" w14:paraId="6E85F560" w14:textId="77777777" w:rsidTr="006B4F26">
        <w:tc>
          <w:tcPr>
            <w:tcW w:w="959" w:type="dxa"/>
            <w:shd w:val="clear" w:color="auto" w:fill="D9D9D9" w:themeFill="background1" w:themeFillShade="D9"/>
          </w:tcPr>
          <w:p w14:paraId="4AE890CF" w14:textId="77777777" w:rsidR="00B82B9F" w:rsidRPr="006B4F26" w:rsidRDefault="006B4F26" w:rsidP="006B4F26">
            <w:pPr>
              <w:jc w:val="right"/>
              <w:rPr>
                <w:rFonts w:ascii="Arial" w:hAnsi="Arial" w:cs="Arial"/>
                <w:b/>
              </w:rPr>
            </w:pPr>
            <w:r w:rsidRPr="006B4F26">
              <w:rPr>
                <w:rFonts w:ascii="Arial" w:hAnsi="Arial" w:cs="Arial"/>
                <w:b/>
              </w:rPr>
              <w:lastRenderedPageBreak/>
              <w:t>4.</w:t>
            </w:r>
          </w:p>
        </w:tc>
        <w:tc>
          <w:tcPr>
            <w:tcW w:w="9461" w:type="dxa"/>
            <w:shd w:val="clear" w:color="auto" w:fill="D9D9D9" w:themeFill="background1" w:themeFillShade="D9"/>
          </w:tcPr>
          <w:p w14:paraId="57082526" w14:textId="77777777" w:rsidR="00B82B9F" w:rsidRPr="006B4F26" w:rsidRDefault="006B4F26" w:rsidP="00247E08">
            <w:pPr>
              <w:rPr>
                <w:rFonts w:ascii="Arial" w:hAnsi="Arial" w:cs="Arial"/>
                <w:b/>
              </w:rPr>
            </w:pPr>
            <w:r w:rsidRPr="006B4F26">
              <w:rPr>
                <w:rFonts w:ascii="Arial" w:hAnsi="Arial" w:cs="Arial"/>
                <w:b/>
              </w:rPr>
              <w:t>Following the meeting</w:t>
            </w:r>
            <w:r>
              <w:rPr>
                <w:rFonts w:ascii="Arial" w:hAnsi="Arial" w:cs="Arial"/>
                <w:b/>
              </w:rPr>
              <w:t xml:space="preserve"> – the education setting</w:t>
            </w:r>
          </w:p>
        </w:tc>
      </w:tr>
      <w:tr w:rsidR="00B82B9F" w14:paraId="0DB88DF6" w14:textId="77777777" w:rsidTr="001C5421">
        <w:tc>
          <w:tcPr>
            <w:tcW w:w="959" w:type="dxa"/>
          </w:tcPr>
          <w:p w14:paraId="24234429" w14:textId="77777777" w:rsidR="00B82B9F" w:rsidRDefault="00B82B9F" w:rsidP="00247E08">
            <w:pPr>
              <w:rPr>
                <w:rFonts w:ascii="Arial" w:hAnsi="Arial" w:cs="Arial"/>
                <w:b/>
                <w:sz w:val="28"/>
                <w:szCs w:val="28"/>
              </w:rPr>
            </w:pPr>
          </w:p>
        </w:tc>
        <w:tc>
          <w:tcPr>
            <w:tcW w:w="9461" w:type="dxa"/>
          </w:tcPr>
          <w:p w14:paraId="77FA9C1A" w14:textId="77777777" w:rsidR="00B82B9F" w:rsidRDefault="006B4F26" w:rsidP="006B4F26">
            <w:pPr>
              <w:rPr>
                <w:rFonts w:ascii="Arial" w:hAnsi="Arial" w:cs="Arial"/>
              </w:rPr>
            </w:pPr>
            <w:r w:rsidRPr="0053667E">
              <w:rPr>
                <w:rFonts w:ascii="Arial" w:hAnsi="Arial" w:cs="Arial"/>
                <w:b/>
              </w:rPr>
              <w:t>Within two weeks</w:t>
            </w:r>
            <w:r w:rsidRPr="006B4F26">
              <w:rPr>
                <w:rFonts w:ascii="Arial" w:hAnsi="Arial" w:cs="Arial"/>
              </w:rPr>
              <w:t xml:space="preserve"> of the meeting the education setting </w:t>
            </w:r>
            <w:r w:rsidRPr="006B4F26">
              <w:rPr>
                <w:rFonts w:ascii="Arial" w:hAnsi="Arial" w:cs="Arial"/>
                <w:b/>
                <w:u w:val="single"/>
              </w:rPr>
              <w:t>must</w:t>
            </w:r>
            <w:r w:rsidRPr="006B4F26">
              <w:rPr>
                <w:rFonts w:ascii="Arial" w:hAnsi="Arial" w:cs="Arial"/>
              </w:rPr>
              <w:t xml:space="preserve"> prepare and send a report of </w:t>
            </w:r>
            <w:r w:rsidR="00E7713F">
              <w:rPr>
                <w:rFonts w:ascii="Arial" w:hAnsi="Arial" w:cs="Arial"/>
              </w:rPr>
              <w:t>the meeting to everyone invited including sending copies of the documents to the LA.</w:t>
            </w:r>
          </w:p>
          <w:p w14:paraId="64438F06" w14:textId="77777777" w:rsidR="00E7713F" w:rsidRDefault="00E7713F" w:rsidP="006B4F26">
            <w:pPr>
              <w:rPr>
                <w:rFonts w:ascii="Arial" w:hAnsi="Arial" w:cs="Arial"/>
              </w:rPr>
            </w:pPr>
          </w:p>
          <w:p w14:paraId="0ED2C382" w14:textId="77777777" w:rsidR="00D122E7" w:rsidRDefault="0053667E" w:rsidP="006B4F26">
            <w:pPr>
              <w:rPr>
                <w:rFonts w:ascii="Arial" w:hAnsi="Arial" w:cs="Arial"/>
              </w:rPr>
            </w:pPr>
            <w:r>
              <w:rPr>
                <w:rFonts w:ascii="Arial" w:hAnsi="Arial" w:cs="Arial"/>
              </w:rPr>
              <w:t xml:space="preserve">The report </w:t>
            </w:r>
            <w:r w:rsidRPr="0053667E">
              <w:rPr>
                <w:rFonts w:ascii="Arial" w:hAnsi="Arial" w:cs="Arial"/>
                <w:b/>
                <w:u w:val="single"/>
              </w:rPr>
              <w:t xml:space="preserve">must </w:t>
            </w:r>
            <w:r>
              <w:rPr>
                <w:rFonts w:ascii="Arial" w:hAnsi="Arial" w:cs="Arial"/>
              </w:rPr>
              <w:t>set out recommendations on any amendments required to the EHCP, and should refer to any difference between the educational settings recommendations and those of others attending the meeting.</w:t>
            </w:r>
          </w:p>
          <w:p w14:paraId="46A2FC09" w14:textId="77777777" w:rsidR="00E7713F" w:rsidRDefault="00E7713F" w:rsidP="006B4F26">
            <w:pPr>
              <w:rPr>
                <w:rFonts w:ascii="Arial" w:hAnsi="Arial" w:cs="Arial"/>
              </w:rPr>
            </w:pPr>
          </w:p>
          <w:p w14:paraId="75ABCCBE" w14:textId="77777777" w:rsidR="006B4F26" w:rsidRDefault="00D122E7" w:rsidP="00066A12">
            <w:pPr>
              <w:rPr>
                <w:rFonts w:ascii="Arial" w:hAnsi="Arial" w:cs="Arial"/>
                <w:b/>
              </w:rPr>
            </w:pPr>
            <w:r w:rsidRPr="00D122E7">
              <w:rPr>
                <w:rFonts w:ascii="Arial" w:hAnsi="Arial" w:cs="Arial"/>
                <w:b/>
              </w:rPr>
              <w:t>The report must be typed and any changes to the EHCP made electronically using ‘tracked changes’</w:t>
            </w:r>
            <w:r>
              <w:rPr>
                <w:rFonts w:ascii="Arial" w:hAnsi="Arial" w:cs="Arial"/>
                <w:b/>
              </w:rPr>
              <w:t>.</w:t>
            </w:r>
          </w:p>
          <w:p w14:paraId="5ADA8F4E" w14:textId="77777777" w:rsidR="002F11A3" w:rsidRPr="006B4F26" w:rsidRDefault="002F11A3" w:rsidP="00066A12">
            <w:pPr>
              <w:rPr>
                <w:rFonts w:ascii="Arial" w:hAnsi="Arial" w:cs="Arial"/>
              </w:rPr>
            </w:pPr>
          </w:p>
        </w:tc>
      </w:tr>
      <w:tr w:rsidR="00B82B9F" w14:paraId="677002F9" w14:textId="77777777" w:rsidTr="0053667E">
        <w:tc>
          <w:tcPr>
            <w:tcW w:w="959" w:type="dxa"/>
            <w:shd w:val="clear" w:color="auto" w:fill="D9D9D9" w:themeFill="background1" w:themeFillShade="D9"/>
          </w:tcPr>
          <w:p w14:paraId="7C2ADC0C" w14:textId="77777777" w:rsidR="00B82B9F" w:rsidRPr="0053667E" w:rsidRDefault="0053667E" w:rsidP="0053667E">
            <w:pPr>
              <w:jc w:val="right"/>
              <w:rPr>
                <w:rFonts w:ascii="Arial" w:hAnsi="Arial" w:cs="Arial"/>
                <w:b/>
              </w:rPr>
            </w:pPr>
            <w:r w:rsidRPr="0053667E">
              <w:rPr>
                <w:rFonts w:ascii="Arial" w:hAnsi="Arial" w:cs="Arial"/>
                <w:b/>
              </w:rPr>
              <w:t>5.</w:t>
            </w:r>
          </w:p>
        </w:tc>
        <w:tc>
          <w:tcPr>
            <w:tcW w:w="9461" w:type="dxa"/>
            <w:shd w:val="clear" w:color="auto" w:fill="D9D9D9" w:themeFill="background1" w:themeFillShade="D9"/>
          </w:tcPr>
          <w:p w14:paraId="1348B5B8" w14:textId="77777777" w:rsidR="00B82B9F" w:rsidRPr="0053667E" w:rsidRDefault="0053667E" w:rsidP="00247E08">
            <w:pPr>
              <w:rPr>
                <w:rFonts w:ascii="Arial" w:hAnsi="Arial" w:cs="Arial"/>
                <w:b/>
              </w:rPr>
            </w:pPr>
            <w:r w:rsidRPr="0053667E">
              <w:rPr>
                <w:rFonts w:ascii="Arial" w:hAnsi="Arial" w:cs="Arial"/>
                <w:b/>
              </w:rPr>
              <w:t>Following the meeting – the LA</w:t>
            </w:r>
          </w:p>
        </w:tc>
      </w:tr>
      <w:tr w:rsidR="00B82B9F" w14:paraId="0E9CED4D" w14:textId="77777777" w:rsidTr="001C5421">
        <w:tc>
          <w:tcPr>
            <w:tcW w:w="959" w:type="dxa"/>
          </w:tcPr>
          <w:p w14:paraId="4F2EEDF6" w14:textId="77777777" w:rsidR="00B82B9F" w:rsidRDefault="00B82B9F" w:rsidP="00247E08">
            <w:pPr>
              <w:rPr>
                <w:rFonts w:ascii="Arial" w:hAnsi="Arial" w:cs="Arial"/>
                <w:b/>
                <w:sz w:val="28"/>
                <w:szCs w:val="28"/>
              </w:rPr>
            </w:pPr>
          </w:p>
        </w:tc>
        <w:tc>
          <w:tcPr>
            <w:tcW w:w="9461" w:type="dxa"/>
          </w:tcPr>
          <w:p w14:paraId="566BD899" w14:textId="77777777" w:rsidR="00B82B9F" w:rsidRDefault="0053667E" w:rsidP="0053667E">
            <w:pPr>
              <w:rPr>
                <w:rFonts w:ascii="Arial" w:hAnsi="Arial" w:cs="Arial"/>
              </w:rPr>
            </w:pPr>
            <w:r w:rsidRPr="0053667E">
              <w:rPr>
                <w:rFonts w:ascii="Arial" w:hAnsi="Arial" w:cs="Arial"/>
              </w:rPr>
              <w:t xml:space="preserve">Within </w:t>
            </w:r>
            <w:r w:rsidRPr="00322FEF">
              <w:rPr>
                <w:rFonts w:ascii="Arial" w:hAnsi="Arial" w:cs="Arial"/>
                <w:b/>
              </w:rPr>
              <w:t>four weeks</w:t>
            </w:r>
            <w:r>
              <w:rPr>
                <w:rFonts w:ascii="Arial" w:hAnsi="Arial" w:cs="Arial"/>
              </w:rPr>
              <w:t xml:space="preserve"> of the review meeting, the LA </w:t>
            </w:r>
            <w:r w:rsidRPr="0053667E">
              <w:rPr>
                <w:rFonts w:ascii="Arial" w:hAnsi="Arial" w:cs="Arial"/>
                <w:b/>
              </w:rPr>
              <w:t>must</w:t>
            </w:r>
            <w:r>
              <w:rPr>
                <w:rFonts w:ascii="Arial" w:hAnsi="Arial" w:cs="Arial"/>
              </w:rPr>
              <w:t xml:space="preserve"> decide whether it proposes to keep the EHCP as it is, amend the plan, or cease to maintain the plan, and notify the child’s parents or the young person and the educational setting.</w:t>
            </w:r>
          </w:p>
          <w:p w14:paraId="02614472" w14:textId="77777777" w:rsidR="0053667E" w:rsidRDefault="0053667E" w:rsidP="0053667E">
            <w:pPr>
              <w:rPr>
                <w:rFonts w:ascii="Arial" w:hAnsi="Arial" w:cs="Arial"/>
              </w:rPr>
            </w:pPr>
          </w:p>
          <w:p w14:paraId="688B7B3D" w14:textId="77777777" w:rsidR="0053667E" w:rsidRDefault="0053667E" w:rsidP="00322FEF">
            <w:pPr>
              <w:rPr>
                <w:rFonts w:ascii="Arial" w:hAnsi="Arial" w:cs="Arial"/>
              </w:rPr>
            </w:pPr>
            <w:r>
              <w:rPr>
                <w:rFonts w:ascii="Arial" w:hAnsi="Arial" w:cs="Arial"/>
              </w:rPr>
              <w:t>If the EHCP is to be amended the LA should start the process of amendment without delay.</w:t>
            </w:r>
          </w:p>
          <w:p w14:paraId="4A03CB59" w14:textId="77777777" w:rsidR="00066A12" w:rsidRPr="0053667E" w:rsidRDefault="00066A12" w:rsidP="00322FEF">
            <w:pPr>
              <w:rPr>
                <w:rFonts w:ascii="Arial" w:hAnsi="Arial" w:cs="Arial"/>
              </w:rPr>
            </w:pPr>
          </w:p>
        </w:tc>
      </w:tr>
    </w:tbl>
    <w:p w14:paraId="35485FE4" w14:textId="77777777" w:rsidR="00B82B9F" w:rsidRDefault="00B82B9F" w:rsidP="00247E08">
      <w:pPr>
        <w:spacing w:after="0" w:line="240" w:lineRule="auto"/>
        <w:rPr>
          <w:rFonts w:ascii="Arial" w:hAnsi="Arial" w:cs="Arial"/>
          <w:b/>
          <w:sz w:val="28"/>
          <w:szCs w:val="28"/>
        </w:rPr>
      </w:pPr>
    </w:p>
    <w:sectPr w:rsidR="00B82B9F" w:rsidSect="005C1557">
      <w:footerReference w:type="default" r:id="rId8"/>
      <w:pgSz w:w="11906" w:h="16838"/>
      <w:pgMar w:top="709" w:right="851" w:bottom="567"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C3DE27" w14:textId="77777777" w:rsidR="00C3191B" w:rsidRDefault="00C3191B" w:rsidP="00320A9C">
      <w:pPr>
        <w:spacing w:after="0" w:line="240" w:lineRule="auto"/>
      </w:pPr>
      <w:r>
        <w:separator/>
      </w:r>
    </w:p>
  </w:endnote>
  <w:endnote w:type="continuationSeparator" w:id="0">
    <w:p w14:paraId="742476BA" w14:textId="77777777" w:rsidR="00C3191B" w:rsidRDefault="00C3191B" w:rsidP="0032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63106" w14:textId="241A30F0" w:rsidR="00322FEF" w:rsidRDefault="00680A31">
    <w:pPr>
      <w:pStyle w:val="Footer"/>
    </w:pPr>
    <w:r>
      <w:t>September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93D66" w14:textId="77777777" w:rsidR="00C3191B" w:rsidRDefault="00C3191B" w:rsidP="00320A9C">
      <w:pPr>
        <w:spacing w:after="0" w:line="240" w:lineRule="auto"/>
      </w:pPr>
      <w:r>
        <w:separator/>
      </w:r>
    </w:p>
  </w:footnote>
  <w:footnote w:type="continuationSeparator" w:id="0">
    <w:p w14:paraId="684F5FAE" w14:textId="77777777" w:rsidR="00C3191B" w:rsidRDefault="00C3191B" w:rsidP="00320A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75216"/>
    <w:multiLevelType w:val="hybridMultilevel"/>
    <w:tmpl w:val="BF546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56964"/>
    <w:multiLevelType w:val="hybridMultilevel"/>
    <w:tmpl w:val="C5EA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12479"/>
    <w:multiLevelType w:val="hybridMultilevel"/>
    <w:tmpl w:val="7C6224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C7ABF"/>
    <w:multiLevelType w:val="hybridMultilevel"/>
    <w:tmpl w:val="6F56C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21BD8"/>
    <w:multiLevelType w:val="hybridMultilevel"/>
    <w:tmpl w:val="E6C21FB8"/>
    <w:lvl w:ilvl="0" w:tplc="153266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BA05E9"/>
    <w:multiLevelType w:val="hybridMultilevel"/>
    <w:tmpl w:val="CFAA5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0827DC"/>
    <w:multiLevelType w:val="hybridMultilevel"/>
    <w:tmpl w:val="A49E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92365"/>
    <w:multiLevelType w:val="hybridMultilevel"/>
    <w:tmpl w:val="89E4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E92195"/>
    <w:multiLevelType w:val="hybridMultilevel"/>
    <w:tmpl w:val="09BE0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F01A95"/>
    <w:multiLevelType w:val="hybridMultilevel"/>
    <w:tmpl w:val="1B1C6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0C0EB8"/>
    <w:multiLevelType w:val="hybridMultilevel"/>
    <w:tmpl w:val="CA98A24A"/>
    <w:lvl w:ilvl="0" w:tplc="153266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93092B"/>
    <w:multiLevelType w:val="hybridMultilevel"/>
    <w:tmpl w:val="B3E62BA4"/>
    <w:lvl w:ilvl="0" w:tplc="1532666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625D8E"/>
    <w:multiLevelType w:val="hybridMultilevel"/>
    <w:tmpl w:val="A8EA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FB431D"/>
    <w:multiLevelType w:val="hybridMultilevel"/>
    <w:tmpl w:val="02F6E3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143787D"/>
    <w:multiLevelType w:val="hybridMultilevel"/>
    <w:tmpl w:val="5DF05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F75125"/>
    <w:multiLevelType w:val="hybridMultilevel"/>
    <w:tmpl w:val="C1928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6A642D"/>
    <w:multiLevelType w:val="hybridMultilevel"/>
    <w:tmpl w:val="ADCC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16"/>
  </w:num>
  <w:num w:numId="5">
    <w:abstractNumId w:val="15"/>
  </w:num>
  <w:num w:numId="6">
    <w:abstractNumId w:val="3"/>
  </w:num>
  <w:num w:numId="7">
    <w:abstractNumId w:val="10"/>
  </w:num>
  <w:num w:numId="8">
    <w:abstractNumId w:val="4"/>
  </w:num>
  <w:num w:numId="9">
    <w:abstractNumId w:val="11"/>
  </w:num>
  <w:num w:numId="10">
    <w:abstractNumId w:val="8"/>
  </w:num>
  <w:num w:numId="11">
    <w:abstractNumId w:val="7"/>
  </w:num>
  <w:num w:numId="12">
    <w:abstractNumId w:val="1"/>
  </w:num>
  <w:num w:numId="13">
    <w:abstractNumId w:val="14"/>
  </w:num>
  <w:num w:numId="14">
    <w:abstractNumId w:val="0"/>
  </w:num>
  <w:num w:numId="15">
    <w:abstractNumId w:val="2"/>
  </w:num>
  <w:num w:numId="16">
    <w:abstractNumId w:val="1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E08"/>
    <w:rsid w:val="0001515E"/>
    <w:rsid w:val="00046049"/>
    <w:rsid w:val="00066A12"/>
    <w:rsid w:val="000C4B0B"/>
    <w:rsid w:val="001021E7"/>
    <w:rsid w:val="001C5421"/>
    <w:rsid w:val="001F4BAD"/>
    <w:rsid w:val="00247E08"/>
    <w:rsid w:val="00265CA5"/>
    <w:rsid w:val="002D767F"/>
    <w:rsid w:val="002F11A3"/>
    <w:rsid w:val="00320A9C"/>
    <w:rsid w:val="00322FEF"/>
    <w:rsid w:val="00351167"/>
    <w:rsid w:val="00397EDF"/>
    <w:rsid w:val="003A0FDD"/>
    <w:rsid w:val="00452678"/>
    <w:rsid w:val="004B7E34"/>
    <w:rsid w:val="004F7EE8"/>
    <w:rsid w:val="0053667E"/>
    <w:rsid w:val="005369AB"/>
    <w:rsid w:val="00537D29"/>
    <w:rsid w:val="00565C2F"/>
    <w:rsid w:val="005C1557"/>
    <w:rsid w:val="005F35D1"/>
    <w:rsid w:val="006632D9"/>
    <w:rsid w:val="00680A31"/>
    <w:rsid w:val="006B4F26"/>
    <w:rsid w:val="007402FB"/>
    <w:rsid w:val="007A0F33"/>
    <w:rsid w:val="007B5C84"/>
    <w:rsid w:val="007C6CAC"/>
    <w:rsid w:val="008111E9"/>
    <w:rsid w:val="008359C1"/>
    <w:rsid w:val="00872190"/>
    <w:rsid w:val="00896A88"/>
    <w:rsid w:val="008D0FCD"/>
    <w:rsid w:val="008D1380"/>
    <w:rsid w:val="00907977"/>
    <w:rsid w:val="00942B44"/>
    <w:rsid w:val="00A015BB"/>
    <w:rsid w:val="00A14C4D"/>
    <w:rsid w:val="00A45EAE"/>
    <w:rsid w:val="00B721C6"/>
    <w:rsid w:val="00B82B9F"/>
    <w:rsid w:val="00C3191B"/>
    <w:rsid w:val="00CA02EB"/>
    <w:rsid w:val="00CA6058"/>
    <w:rsid w:val="00CF67E3"/>
    <w:rsid w:val="00D025B0"/>
    <w:rsid w:val="00D122E7"/>
    <w:rsid w:val="00D66266"/>
    <w:rsid w:val="00D77C72"/>
    <w:rsid w:val="00DD5B4D"/>
    <w:rsid w:val="00E16D40"/>
    <w:rsid w:val="00E7713F"/>
    <w:rsid w:val="00F066F1"/>
    <w:rsid w:val="00FA0B18"/>
    <w:rsid w:val="00FE2DFB"/>
    <w:rsid w:val="00FF4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137FC2B"/>
  <w15:docId w15:val="{9BB43E21-B29F-4C3D-93E9-60CC026DB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E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E08"/>
    <w:rPr>
      <w:rFonts w:ascii="Tahoma" w:hAnsi="Tahoma" w:cs="Tahoma"/>
      <w:sz w:val="16"/>
      <w:szCs w:val="16"/>
    </w:rPr>
  </w:style>
  <w:style w:type="paragraph" w:styleId="ListParagraph">
    <w:name w:val="List Paragraph"/>
    <w:basedOn w:val="Normal"/>
    <w:uiPriority w:val="34"/>
    <w:qFormat/>
    <w:rsid w:val="00247E08"/>
    <w:pPr>
      <w:ind w:left="720"/>
      <w:contextualSpacing/>
    </w:pPr>
  </w:style>
  <w:style w:type="paragraph" w:styleId="Header">
    <w:name w:val="header"/>
    <w:basedOn w:val="Normal"/>
    <w:link w:val="HeaderChar"/>
    <w:uiPriority w:val="99"/>
    <w:unhideWhenUsed/>
    <w:rsid w:val="00320A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0A9C"/>
  </w:style>
  <w:style w:type="paragraph" w:styleId="Footer">
    <w:name w:val="footer"/>
    <w:basedOn w:val="Normal"/>
    <w:link w:val="FooterChar"/>
    <w:uiPriority w:val="99"/>
    <w:unhideWhenUsed/>
    <w:rsid w:val="00320A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0A9C"/>
  </w:style>
  <w:style w:type="paragraph" w:customStyle="1" w:styleId="Default">
    <w:name w:val="Default"/>
    <w:rsid w:val="006632D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B82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3851719">
      <w:bodyDiv w:val="1"/>
      <w:marLeft w:val="0"/>
      <w:marRight w:val="0"/>
      <w:marTop w:val="0"/>
      <w:marBottom w:val="0"/>
      <w:divBdr>
        <w:top w:val="none" w:sz="0" w:space="0" w:color="auto"/>
        <w:left w:val="none" w:sz="0" w:space="0" w:color="auto"/>
        <w:bottom w:val="none" w:sz="0" w:space="0" w:color="auto"/>
        <w:right w:val="none" w:sz="0" w:space="0" w:color="auto"/>
      </w:divBdr>
    </w:div>
    <w:div w:id="133780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Redcar and Cleveland Council</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Steven</dc:creator>
  <cp:lastModifiedBy>Jane Bayley</cp:lastModifiedBy>
  <cp:revision>3</cp:revision>
  <cp:lastPrinted>2018-05-10T15:33:00Z</cp:lastPrinted>
  <dcterms:created xsi:type="dcterms:W3CDTF">2019-12-13T09:56:00Z</dcterms:created>
  <dcterms:modified xsi:type="dcterms:W3CDTF">2020-09-04T14:53:00Z</dcterms:modified>
</cp:coreProperties>
</file>