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A723E" w14:textId="0CB11AA9" w:rsidR="00D6144B" w:rsidRDefault="00D6144B" w:rsidP="00FC55CC">
      <w:pPr>
        <w:rPr>
          <w:b/>
          <w:bCs/>
        </w:rPr>
      </w:pPr>
      <w:r>
        <w:rPr>
          <w:noProof/>
        </w:rPr>
        <w:t xml:space="preserve">                                                                                                                </w:t>
      </w:r>
      <w:r w:rsidR="00E46FBB">
        <w:rPr>
          <w:noProof/>
        </w:rPr>
        <w:t xml:space="preserve">              </w:t>
      </w:r>
      <w:r>
        <w:rPr>
          <w:noProof/>
        </w:rPr>
        <w:drawing>
          <wp:inline distT="0" distB="0" distL="0" distR="0" wp14:anchorId="2523ECAB" wp14:editId="6E3B26D2">
            <wp:extent cx="1803400" cy="1070467"/>
            <wp:effectExtent l="0" t="0" r="6350" b="0"/>
            <wp:docPr id="485618503" name="Picture 6" descr="A computer screen shot of a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618503" name="Picture 6" descr="A computer screen shot of a document&#10;&#10;Description automatically generated"/>
                    <pic:cNvPicPr/>
                  </pic:nvPicPr>
                  <pic:blipFill rotWithShape="1">
                    <a:blip r:embed="rId7">
                      <a:extLst>
                        <a:ext uri="{28A0092B-C50C-407E-A947-70E740481C1C}">
                          <a14:useLocalDpi xmlns:a14="http://schemas.microsoft.com/office/drawing/2010/main" val="0"/>
                        </a:ext>
                      </a:extLst>
                    </a:blip>
                    <a:srcRect l="72125" t="26394" r="7157" b="51743"/>
                    <a:stretch/>
                  </pic:blipFill>
                  <pic:spPr bwMode="auto">
                    <a:xfrm>
                      <a:off x="0" y="0"/>
                      <a:ext cx="1812798" cy="1076046"/>
                    </a:xfrm>
                    <a:prstGeom prst="rect">
                      <a:avLst/>
                    </a:prstGeom>
                    <a:ln>
                      <a:noFill/>
                    </a:ln>
                    <a:extLst>
                      <a:ext uri="{53640926-AAD7-44D8-BBD7-CCE9431645EC}">
                        <a14:shadowObscured xmlns:a14="http://schemas.microsoft.com/office/drawing/2010/main"/>
                      </a:ext>
                    </a:extLst>
                  </pic:spPr>
                </pic:pic>
              </a:graphicData>
            </a:graphic>
          </wp:inline>
        </w:drawing>
      </w:r>
    </w:p>
    <w:p w14:paraId="17D450FC" w14:textId="0F2EA15C" w:rsidR="00E46FBB" w:rsidRDefault="00E46FBB" w:rsidP="00E46FBB">
      <w:pPr>
        <w:jc w:val="center"/>
        <w:rPr>
          <w:b/>
          <w:bCs/>
        </w:rPr>
      </w:pPr>
      <w:r>
        <w:rPr>
          <w:b/>
          <w:bCs/>
        </w:rPr>
        <w:t>South Tees Paediatric Occupational Therapy Team</w:t>
      </w:r>
    </w:p>
    <w:p w14:paraId="5BC9460B" w14:textId="77777777" w:rsidR="00E46FBB" w:rsidRDefault="00E46FBB" w:rsidP="00FC55CC">
      <w:pPr>
        <w:rPr>
          <w:b/>
          <w:bCs/>
        </w:rPr>
      </w:pPr>
    </w:p>
    <w:p w14:paraId="692BFB5E" w14:textId="0AF107EA" w:rsidR="00FC55CC" w:rsidRPr="00FC55CC" w:rsidRDefault="00FC55CC" w:rsidP="00FC55CC">
      <w:pPr>
        <w:rPr>
          <w:b/>
          <w:bCs/>
        </w:rPr>
      </w:pPr>
      <w:r w:rsidRPr="00FC55CC">
        <w:rPr>
          <w:b/>
          <w:bCs/>
        </w:rPr>
        <w:t>Introduction to the Environmental Audit Tool</w:t>
      </w:r>
    </w:p>
    <w:p w14:paraId="57574520" w14:textId="1BB8FBEB" w:rsidR="00FC55CC" w:rsidRPr="00FC55CC" w:rsidRDefault="00FC55CC" w:rsidP="00FC55CC">
      <w:r w:rsidRPr="00FC55CC">
        <w:t xml:space="preserve">A well-designed classroom environment plays a powerful role in supporting pupils’ learning, wellbeing, and overall engagement. This </w:t>
      </w:r>
      <w:r w:rsidR="0003772A">
        <w:t>t</w:t>
      </w:r>
      <w:r w:rsidRPr="00FC55CC">
        <w:t xml:space="preserve">ool has been created to help primary </w:t>
      </w:r>
      <w:r w:rsidR="0003772A">
        <w:t xml:space="preserve">and secondary </w:t>
      </w:r>
      <w:r w:rsidRPr="00FC55CC">
        <w:t>schools reflect on and enhance the sensory qualities of their learning spaces. By considering factors such as lighting, sound, visual stimuli, layout, and organisation, staff can identify small, practical adjustments that create calmer, more focused, and more inclusive classrooms.</w:t>
      </w:r>
    </w:p>
    <w:p w14:paraId="4A03BFC1" w14:textId="77777777" w:rsidR="00FC55CC" w:rsidRPr="00FC55CC" w:rsidRDefault="00FC55CC" w:rsidP="00FC55CC">
      <w:r w:rsidRPr="00FC55CC">
        <w:t>While sensory</w:t>
      </w:r>
      <w:r w:rsidRPr="00FC55CC">
        <w:noBreakHyphen/>
        <w:t xml:space="preserve">friendly design is often associated with supporting neurodivergent children—such as those who are autistic, have ADHD, or experience sensory processing differences—research and classroom experience consistently show that these adjustments benefit </w:t>
      </w:r>
      <w:r w:rsidRPr="00FC55CC">
        <w:rPr>
          <w:i/>
          <w:iCs/>
        </w:rPr>
        <w:t>all</w:t>
      </w:r>
      <w:r w:rsidRPr="00FC55CC">
        <w:t xml:space="preserve"> learners. A thoughtfully arranged environment reduces distractions, supports concentration, and promotes positive behaviour. It can make transitions smoother, reduce cognitive load, and help pupils feel secure and ready to learn.</w:t>
      </w:r>
    </w:p>
    <w:p w14:paraId="0CE034DF" w14:textId="77777777" w:rsidR="00FC55CC" w:rsidRPr="00FC55CC" w:rsidRDefault="00FC55CC" w:rsidP="00FC55CC">
      <w:r w:rsidRPr="00FC55CC">
        <w:t>This tool is not intended to be prescriptive or overwhelming. Instead, it offers simple prompts and considerations that empower staff to make informed decisions tailored to their own setting. By routinely reflecting on the sensory impact of the classroom environment, schools can create learning spaces that are welcoming, accessible, and supportive for every child.</w:t>
      </w:r>
    </w:p>
    <w:p w14:paraId="4C3F12F4" w14:textId="77777777" w:rsidR="00FC55CC" w:rsidRPr="00FC55CC" w:rsidRDefault="00FC55CC" w:rsidP="00FC55CC">
      <w:pPr>
        <w:rPr>
          <w:b/>
          <w:bCs/>
        </w:rPr>
      </w:pPr>
      <w:r w:rsidRPr="00FC55CC">
        <w:rPr>
          <w:b/>
          <w:bCs/>
        </w:rPr>
        <w:t>How the Environmental Audit Tool Works</w:t>
      </w:r>
    </w:p>
    <w:p w14:paraId="2AC6F322" w14:textId="77777777" w:rsidR="00FC55CC" w:rsidRPr="00FC55CC" w:rsidRDefault="00FC55CC" w:rsidP="00FC55CC">
      <w:r w:rsidRPr="00FC55CC">
        <w:t xml:space="preserve">This audit tool is divided into </w:t>
      </w:r>
      <w:r w:rsidRPr="00FC55CC">
        <w:rPr>
          <w:b/>
          <w:bCs/>
        </w:rPr>
        <w:t>two complementary sections</w:t>
      </w:r>
      <w:r w:rsidRPr="00FC55CC">
        <w:t>. Together, they provide a holistic picture of how the classroom supports pupils’ learning, comfort, and sensory regulation. The aim is not to create a “perfect” space—because there is no single ideal environment that suits every child—but to help staff make thoughtful, responsive adjustments based on the needs of the pupils who use it.</w:t>
      </w:r>
    </w:p>
    <w:p w14:paraId="2D6A26AF" w14:textId="77777777" w:rsidR="00FC55CC" w:rsidRPr="00FC55CC" w:rsidRDefault="00242BCF" w:rsidP="00FC55CC">
      <w:r>
        <w:pict w14:anchorId="5B26316A">
          <v:rect id="_x0000_i1025" style="width:0;height:1.5pt" o:hralign="center" o:hrstd="t" o:hr="t" fillcolor="#a0a0a0" stroked="f"/>
        </w:pict>
      </w:r>
    </w:p>
    <w:p w14:paraId="5C5ADE6A" w14:textId="77777777" w:rsidR="00FC55CC" w:rsidRPr="00FC55CC" w:rsidRDefault="00FC55CC" w:rsidP="00FC55CC">
      <w:pPr>
        <w:rPr>
          <w:b/>
          <w:bCs/>
        </w:rPr>
      </w:pPr>
      <w:r w:rsidRPr="00FC55CC">
        <w:rPr>
          <w:b/>
          <w:bCs/>
        </w:rPr>
        <w:t>1. The Physical Environment and Learning Context</w:t>
      </w:r>
    </w:p>
    <w:p w14:paraId="2513765B" w14:textId="77777777" w:rsidR="00FC55CC" w:rsidRPr="00FC55CC" w:rsidRDefault="00FC55CC" w:rsidP="00FC55CC">
      <w:r w:rsidRPr="00FC55CC">
        <w:lastRenderedPageBreak/>
        <w:t>This section focuses on the organisational and instructional elements of the classroom that shape how pupils navigate learning. It invites staff to reflect on practical features that have a significant impact on clarity, predictability, and independence. These include:</w:t>
      </w:r>
    </w:p>
    <w:p w14:paraId="76B03F79" w14:textId="77777777" w:rsidR="00FC55CC" w:rsidRPr="00FC55CC" w:rsidRDefault="00FC55CC" w:rsidP="00FC55CC">
      <w:pPr>
        <w:numPr>
          <w:ilvl w:val="0"/>
          <w:numId w:val="1"/>
        </w:numPr>
      </w:pPr>
      <w:r w:rsidRPr="00FC55CC">
        <w:rPr>
          <w:b/>
          <w:bCs/>
        </w:rPr>
        <w:t>Visual timetables and schedules</w:t>
      </w:r>
      <w:r w:rsidRPr="00FC55CC">
        <w:br/>
        <w:t>Ensuring daily routines are clearly displayed and accessible to all children helps reduce anxiety and supports smooth transitions.</w:t>
      </w:r>
    </w:p>
    <w:p w14:paraId="627FEA8F" w14:textId="77777777" w:rsidR="00FC55CC" w:rsidRPr="00FC55CC" w:rsidRDefault="00FC55CC" w:rsidP="00FC55CC">
      <w:pPr>
        <w:numPr>
          <w:ilvl w:val="0"/>
          <w:numId w:val="1"/>
        </w:numPr>
      </w:pPr>
      <w:r w:rsidRPr="00FC55CC">
        <w:rPr>
          <w:b/>
          <w:bCs/>
        </w:rPr>
        <w:t>Workstations and flexible seating</w:t>
      </w:r>
      <w:r w:rsidRPr="00FC55CC">
        <w:br/>
        <w:t>Considering where and how pupils work—whether individually, in groups, or in quiet spaces—allows the environment to match different learning needs and styles.</w:t>
      </w:r>
    </w:p>
    <w:p w14:paraId="6056557A" w14:textId="77777777" w:rsidR="00FC55CC" w:rsidRPr="00FC55CC" w:rsidRDefault="00FC55CC" w:rsidP="00FC55CC">
      <w:pPr>
        <w:numPr>
          <w:ilvl w:val="0"/>
          <w:numId w:val="1"/>
        </w:numPr>
      </w:pPr>
      <w:r w:rsidRPr="00FC55CC">
        <w:rPr>
          <w:b/>
          <w:bCs/>
        </w:rPr>
        <w:t>Seating arrangements</w:t>
      </w:r>
      <w:r w:rsidRPr="00FC55CC">
        <w:br/>
        <w:t>Positioning that takes account of attention needs, distractibility, visual access to the teacher, and peer dynamics.</w:t>
      </w:r>
    </w:p>
    <w:p w14:paraId="6B1A07E1" w14:textId="77777777" w:rsidR="00FC55CC" w:rsidRPr="00FC55CC" w:rsidRDefault="00FC55CC" w:rsidP="00FC55CC">
      <w:pPr>
        <w:numPr>
          <w:ilvl w:val="0"/>
          <w:numId w:val="1"/>
        </w:numPr>
      </w:pPr>
      <w:r w:rsidRPr="00FC55CC">
        <w:rPr>
          <w:b/>
          <w:bCs/>
        </w:rPr>
        <w:t>Storage systems and labelling</w:t>
      </w:r>
      <w:r w:rsidRPr="00FC55CC">
        <w:br/>
        <w:t>Clearly organised materials promote independence, reduce clutter, and support executive functioning.</w:t>
      </w:r>
    </w:p>
    <w:p w14:paraId="60AD256B" w14:textId="77777777" w:rsidR="00FC55CC" w:rsidRPr="00FC55CC" w:rsidRDefault="00FC55CC" w:rsidP="00FC55CC">
      <w:pPr>
        <w:numPr>
          <w:ilvl w:val="0"/>
          <w:numId w:val="1"/>
        </w:numPr>
      </w:pPr>
      <w:r w:rsidRPr="00FC55CC">
        <w:rPr>
          <w:b/>
          <w:bCs/>
        </w:rPr>
        <w:t>Resources for free time and wet breaks</w:t>
      </w:r>
      <w:r w:rsidRPr="00FC55CC">
        <w:br/>
        <w:t>Thoughtful provision ensures downtime is purposeful, calming, and inclusive.</w:t>
      </w:r>
    </w:p>
    <w:p w14:paraId="6D815C40" w14:textId="77777777" w:rsidR="00FC55CC" w:rsidRPr="00FC55CC" w:rsidRDefault="00FC55CC" w:rsidP="00FC55CC">
      <w:pPr>
        <w:numPr>
          <w:ilvl w:val="0"/>
          <w:numId w:val="1"/>
        </w:numPr>
      </w:pPr>
      <w:r w:rsidRPr="00FC55CC">
        <w:rPr>
          <w:b/>
          <w:bCs/>
        </w:rPr>
        <w:t>Transition routines</w:t>
      </w:r>
      <w:r w:rsidRPr="00FC55CC">
        <w:br/>
        <w:t>Predictable systems help children move between tasks with reduced cognitive load.</w:t>
      </w:r>
    </w:p>
    <w:p w14:paraId="16BCF00C" w14:textId="77777777" w:rsidR="00FC55CC" w:rsidRPr="00FC55CC" w:rsidRDefault="00FC55CC" w:rsidP="00FC55CC">
      <w:pPr>
        <w:numPr>
          <w:ilvl w:val="0"/>
          <w:numId w:val="1"/>
        </w:numPr>
      </w:pPr>
      <w:r w:rsidRPr="00FC55CC">
        <w:rPr>
          <w:b/>
          <w:bCs/>
        </w:rPr>
        <w:t>Methods of recording</w:t>
      </w:r>
      <w:r w:rsidRPr="00FC55CC">
        <w:br/>
        <w:t>Offering a range of ways for pupils to demonstrate understanding (e.g., writing, drawing, typing, voice notes) supports accessibility and reduces barriers.</w:t>
      </w:r>
    </w:p>
    <w:p w14:paraId="6951CC4E" w14:textId="77777777" w:rsidR="00FC55CC" w:rsidRPr="00FC55CC" w:rsidRDefault="00FC55CC" w:rsidP="00FC55CC">
      <w:r w:rsidRPr="00FC55CC">
        <w:t>This part of the audit encourages staff to notice what is working well and what could be simplified, clarified, or adapted to improve learning consistency and wellbeing.</w:t>
      </w:r>
    </w:p>
    <w:p w14:paraId="0217C546" w14:textId="77777777" w:rsidR="00FC55CC" w:rsidRPr="00FC55CC" w:rsidRDefault="00242BCF" w:rsidP="00FC55CC">
      <w:r>
        <w:pict w14:anchorId="634283BA">
          <v:rect id="_x0000_i1026" style="width:0;height:1.5pt" o:hralign="center" o:hrstd="t" o:hr="t" fillcolor="#a0a0a0" stroked="f"/>
        </w:pict>
      </w:r>
    </w:p>
    <w:p w14:paraId="64F7C859" w14:textId="77777777" w:rsidR="00FC55CC" w:rsidRPr="00FC55CC" w:rsidRDefault="00FC55CC" w:rsidP="00FC55CC">
      <w:pPr>
        <w:rPr>
          <w:b/>
          <w:bCs/>
        </w:rPr>
      </w:pPr>
      <w:r w:rsidRPr="00FC55CC">
        <w:rPr>
          <w:b/>
          <w:bCs/>
        </w:rPr>
        <w:t>2. The Sensory Environment</w:t>
      </w:r>
    </w:p>
    <w:p w14:paraId="10CDE7D6" w14:textId="77777777" w:rsidR="00FC55CC" w:rsidRPr="00FC55CC" w:rsidRDefault="00FC55CC" w:rsidP="00FC55CC">
      <w:r w:rsidRPr="00FC55CC">
        <w:t>The second section focuses on the sensory elements of the classroom. Sensory experiences can either help children feel regulated and ready to learn or become overwhelming and distracting. This section explores how pupils are affected by:</w:t>
      </w:r>
    </w:p>
    <w:p w14:paraId="4643BDA1" w14:textId="77777777" w:rsidR="00FC55CC" w:rsidRPr="00FC55CC" w:rsidRDefault="00FC55CC" w:rsidP="00FC55CC">
      <w:pPr>
        <w:numPr>
          <w:ilvl w:val="0"/>
          <w:numId w:val="2"/>
        </w:numPr>
      </w:pPr>
      <w:r w:rsidRPr="00FC55CC">
        <w:rPr>
          <w:b/>
          <w:bCs/>
        </w:rPr>
        <w:t>Visual input</w:t>
      </w:r>
      <w:r w:rsidRPr="00FC55CC">
        <w:br/>
        <w:t>Display density, lighting, colour choices, and the presence of visual clutter.</w:t>
      </w:r>
    </w:p>
    <w:p w14:paraId="2FCEAEDE" w14:textId="77777777" w:rsidR="00FC55CC" w:rsidRPr="00FC55CC" w:rsidRDefault="00FC55CC" w:rsidP="00FC55CC">
      <w:pPr>
        <w:numPr>
          <w:ilvl w:val="0"/>
          <w:numId w:val="2"/>
        </w:numPr>
      </w:pPr>
      <w:r w:rsidRPr="00FC55CC">
        <w:rPr>
          <w:b/>
          <w:bCs/>
        </w:rPr>
        <w:lastRenderedPageBreak/>
        <w:t>Auditory input</w:t>
      </w:r>
      <w:r w:rsidRPr="00FC55CC">
        <w:br/>
        <w:t>Background noise, echo, classroom chatter, corridor sounds, and strategies to reduce auditory overload.</w:t>
      </w:r>
    </w:p>
    <w:p w14:paraId="27174B46" w14:textId="77777777" w:rsidR="00FC55CC" w:rsidRPr="00FC55CC" w:rsidRDefault="00FC55CC" w:rsidP="00FC55CC">
      <w:pPr>
        <w:numPr>
          <w:ilvl w:val="0"/>
          <w:numId w:val="2"/>
        </w:numPr>
      </w:pPr>
      <w:r w:rsidRPr="00FC55CC">
        <w:rPr>
          <w:b/>
          <w:bCs/>
        </w:rPr>
        <w:t>Olfactory input</w:t>
      </w:r>
      <w:r w:rsidRPr="00FC55CC">
        <w:br/>
        <w:t>Strong smells from cleaning products, food, craft materials, or ventilation issues.</w:t>
      </w:r>
    </w:p>
    <w:p w14:paraId="43AF80FD" w14:textId="77777777" w:rsidR="00FC55CC" w:rsidRPr="00FC55CC" w:rsidRDefault="00FC55CC" w:rsidP="00FC55CC">
      <w:pPr>
        <w:numPr>
          <w:ilvl w:val="0"/>
          <w:numId w:val="2"/>
        </w:numPr>
      </w:pPr>
      <w:r w:rsidRPr="00FC55CC">
        <w:rPr>
          <w:b/>
          <w:bCs/>
        </w:rPr>
        <w:t>Tactile experiences</w:t>
      </w:r>
      <w:r w:rsidRPr="00FC55CC">
        <w:br/>
        <w:t>The feel of seating, textures of materials, access to fidget tools, or sensitivity to clothing and furniture.</w:t>
      </w:r>
    </w:p>
    <w:p w14:paraId="3EF44B78" w14:textId="77777777" w:rsidR="00FC55CC" w:rsidRPr="00FC55CC" w:rsidRDefault="00FC55CC" w:rsidP="00FC55CC">
      <w:pPr>
        <w:numPr>
          <w:ilvl w:val="0"/>
          <w:numId w:val="2"/>
        </w:numPr>
      </w:pPr>
      <w:r w:rsidRPr="00FC55CC">
        <w:rPr>
          <w:b/>
          <w:bCs/>
        </w:rPr>
        <w:t>Vestibular and proprioceptive needs</w:t>
      </w:r>
      <w:r w:rsidRPr="00FC55CC">
        <w:br/>
        <w:t>Opportunities for movement, posture changes, heavy</w:t>
      </w:r>
      <w:r w:rsidRPr="00FC55CC">
        <w:noBreakHyphen/>
        <w:t>work activities, and movement breaks that support regulation.</w:t>
      </w:r>
    </w:p>
    <w:p w14:paraId="3D00011A" w14:textId="77777777" w:rsidR="00FC55CC" w:rsidRPr="00FC55CC" w:rsidRDefault="00FC55CC" w:rsidP="00FC55CC">
      <w:r w:rsidRPr="00FC55CC">
        <w:t>This section helps staff think about how sensory stimuli may support or hinder engagement, and how simple adjustments can make the environment more comfortable for a wider range of learners.</w:t>
      </w:r>
    </w:p>
    <w:p w14:paraId="4437195D" w14:textId="77777777" w:rsidR="00FC55CC" w:rsidRPr="00FC55CC" w:rsidRDefault="00242BCF" w:rsidP="00FC55CC">
      <w:r>
        <w:pict w14:anchorId="09C456B5">
          <v:rect id="_x0000_i1027" style="width:0;height:1.5pt" o:hralign="center" o:hrstd="t" o:hr="t" fillcolor="#a0a0a0" stroked="f"/>
        </w:pict>
      </w:r>
    </w:p>
    <w:p w14:paraId="10D4D33D" w14:textId="77777777" w:rsidR="00FC55CC" w:rsidRPr="00FC55CC" w:rsidRDefault="00FC55CC" w:rsidP="00FC55CC">
      <w:pPr>
        <w:rPr>
          <w:b/>
          <w:bCs/>
        </w:rPr>
      </w:pPr>
      <w:r w:rsidRPr="00FC55CC">
        <w:rPr>
          <w:b/>
          <w:bCs/>
        </w:rPr>
        <w:t>A Flexible, Responsive Approach</w:t>
      </w:r>
    </w:p>
    <w:p w14:paraId="4FB88574" w14:textId="77777777" w:rsidR="00FC55CC" w:rsidRPr="00FC55CC" w:rsidRDefault="00FC55CC" w:rsidP="00FC55CC">
      <w:r w:rsidRPr="00FC55CC">
        <w:t xml:space="preserve">It is essential to recognise that classrooms do not need to look identical to be effective. There is </w:t>
      </w:r>
      <w:r w:rsidRPr="00FC55CC">
        <w:rPr>
          <w:b/>
          <w:bCs/>
        </w:rPr>
        <w:t>no one</w:t>
      </w:r>
      <w:r w:rsidRPr="00FC55CC">
        <w:rPr>
          <w:b/>
          <w:bCs/>
        </w:rPr>
        <w:noBreakHyphen/>
        <w:t>size</w:t>
      </w:r>
      <w:r w:rsidRPr="00FC55CC">
        <w:rPr>
          <w:b/>
          <w:bCs/>
        </w:rPr>
        <w:noBreakHyphen/>
        <w:t>fits</w:t>
      </w:r>
      <w:r w:rsidRPr="00FC55CC">
        <w:rPr>
          <w:b/>
          <w:bCs/>
        </w:rPr>
        <w:noBreakHyphen/>
        <w:t>all</w:t>
      </w:r>
      <w:r w:rsidRPr="00FC55CC">
        <w:t xml:space="preserve"> model for an optimal sensory or physical environment. Different groups of children—and even the same cohort at different times of the year—may require different structures, supports, and sensory considerations.</w:t>
      </w:r>
    </w:p>
    <w:p w14:paraId="74E4991D" w14:textId="77777777" w:rsidR="00FC55CC" w:rsidRPr="00FC55CC" w:rsidRDefault="00FC55CC" w:rsidP="00FC55CC">
      <w:r w:rsidRPr="00FC55CC">
        <w:t xml:space="preserve">The audit tool is designed to guide reflection rather than dictate uniform practice. By regularly reviewing these areas, schools can ensure their learning environments remain </w:t>
      </w:r>
      <w:r w:rsidRPr="00FC55CC">
        <w:rPr>
          <w:b/>
          <w:bCs/>
        </w:rPr>
        <w:t>inclusive, adaptable, and centred on the needs of the pupils who use them</w:t>
      </w:r>
      <w:r w:rsidRPr="00FC55CC">
        <w:t>.</w:t>
      </w:r>
    </w:p>
    <w:p w14:paraId="0E7EA924" w14:textId="77777777" w:rsidR="00FC55CC" w:rsidRPr="00FC55CC" w:rsidRDefault="00FC55CC" w:rsidP="00FC55CC">
      <w:pPr>
        <w:rPr>
          <w:b/>
          <w:bCs/>
        </w:rPr>
      </w:pPr>
      <w:r w:rsidRPr="00FC55CC">
        <w:rPr>
          <w:b/>
          <w:bCs/>
        </w:rPr>
        <w:t>Step</w:t>
      </w:r>
      <w:r w:rsidRPr="00FC55CC">
        <w:rPr>
          <w:b/>
          <w:bCs/>
        </w:rPr>
        <w:noBreakHyphen/>
        <w:t>by</w:t>
      </w:r>
      <w:r w:rsidRPr="00FC55CC">
        <w:rPr>
          <w:b/>
          <w:bCs/>
        </w:rPr>
        <w:noBreakHyphen/>
        <w:t>Step Guide to Using the Environmental Audit Tool</w:t>
      </w:r>
    </w:p>
    <w:p w14:paraId="2C2B87AC" w14:textId="77777777" w:rsidR="00FC55CC" w:rsidRPr="00FC55CC" w:rsidRDefault="00FC55CC" w:rsidP="00FC55CC">
      <w:pPr>
        <w:rPr>
          <w:b/>
          <w:bCs/>
        </w:rPr>
      </w:pPr>
      <w:r w:rsidRPr="00FC55CC">
        <w:rPr>
          <w:b/>
          <w:bCs/>
        </w:rPr>
        <w:t>1. Choose the Environment to Review</w:t>
      </w:r>
    </w:p>
    <w:p w14:paraId="1D0090CD" w14:textId="77777777" w:rsidR="00FC55CC" w:rsidRPr="00FC55CC" w:rsidRDefault="00FC55CC" w:rsidP="00FC55CC">
      <w:r w:rsidRPr="00FC55CC">
        <w:t>Select the classroom or school space you want to audit. This might be done by:</w:t>
      </w:r>
    </w:p>
    <w:p w14:paraId="39BFCE9B" w14:textId="77777777" w:rsidR="00FC55CC" w:rsidRPr="00FC55CC" w:rsidRDefault="00FC55CC" w:rsidP="00FC55CC">
      <w:pPr>
        <w:numPr>
          <w:ilvl w:val="0"/>
          <w:numId w:val="3"/>
        </w:numPr>
      </w:pPr>
      <w:r w:rsidRPr="00FC55CC">
        <w:t xml:space="preserve">The staff member responsible for that environment, </w:t>
      </w:r>
      <w:r w:rsidRPr="00FC55CC">
        <w:rPr>
          <w:b/>
          <w:bCs/>
        </w:rPr>
        <w:t>or</w:t>
      </w:r>
    </w:p>
    <w:p w14:paraId="0E65EAC0" w14:textId="22A534E6" w:rsidR="00FC55CC" w:rsidRPr="00FC55CC" w:rsidRDefault="00FC55CC" w:rsidP="00FC55CC">
      <w:pPr>
        <w:numPr>
          <w:ilvl w:val="0"/>
          <w:numId w:val="3"/>
        </w:numPr>
      </w:pPr>
      <w:r w:rsidRPr="00FC55CC">
        <w:t>A peer reviewer offering a fresh perspective</w:t>
      </w:r>
    </w:p>
    <w:p w14:paraId="76EB8470" w14:textId="77777777" w:rsidR="00FC55CC" w:rsidRPr="00FC55CC" w:rsidRDefault="00FC55CC" w:rsidP="00FC55CC">
      <w:r w:rsidRPr="00FC55CC">
        <w:t>Either option works well—you may even wish to alternate approaches for balance.</w:t>
      </w:r>
    </w:p>
    <w:p w14:paraId="4444C1D6" w14:textId="77777777" w:rsidR="00FC55CC" w:rsidRPr="00FC55CC" w:rsidRDefault="00242BCF" w:rsidP="00FC55CC">
      <w:r>
        <w:pict w14:anchorId="4B942561">
          <v:rect id="_x0000_i1028" style="width:0;height:1.5pt" o:hralign="center" o:hrstd="t" o:hr="t" fillcolor="#a0a0a0" stroked="f"/>
        </w:pict>
      </w:r>
    </w:p>
    <w:p w14:paraId="1CCD000B" w14:textId="77777777" w:rsidR="00FC55CC" w:rsidRPr="00FC55CC" w:rsidRDefault="00FC55CC" w:rsidP="00FC55CC">
      <w:pPr>
        <w:rPr>
          <w:b/>
          <w:bCs/>
        </w:rPr>
      </w:pPr>
      <w:r w:rsidRPr="00FC55CC">
        <w:rPr>
          <w:b/>
          <w:bCs/>
        </w:rPr>
        <w:t>2. Walk Through the Space Slowly and Observationally</w:t>
      </w:r>
    </w:p>
    <w:p w14:paraId="7F875C8A" w14:textId="77777777" w:rsidR="00FC55CC" w:rsidRPr="00FC55CC" w:rsidRDefault="00FC55CC" w:rsidP="00FC55CC">
      <w:r w:rsidRPr="00FC55CC">
        <w:t>Spend a few minutes noticing how the environment looks, sounds, feels, and functions. Avoid making changes straight away—this stage is about gathering information.</w:t>
      </w:r>
    </w:p>
    <w:p w14:paraId="06F62355" w14:textId="77777777" w:rsidR="00FC55CC" w:rsidRPr="00FC55CC" w:rsidRDefault="00242BCF" w:rsidP="00FC55CC">
      <w:r>
        <w:lastRenderedPageBreak/>
        <w:pict w14:anchorId="0D6AE8E9">
          <v:rect id="_x0000_i1029" style="width:0;height:1.5pt" o:hralign="center" o:hrstd="t" o:hr="t" fillcolor="#a0a0a0" stroked="f"/>
        </w:pict>
      </w:r>
    </w:p>
    <w:p w14:paraId="2BB61779" w14:textId="75013589" w:rsidR="00FC55CC" w:rsidRPr="00FC55CC" w:rsidRDefault="00FC55CC" w:rsidP="00FC55CC">
      <w:pPr>
        <w:rPr>
          <w:b/>
          <w:bCs/>
        </w:rPr>
      </w:pPr>
      <w:r w:rsidRPr="00FC55CC">
        <w:rPr>
          <w:b/>
          <w:bCs/>
        </w:rPr>
        <w:t>3. Complete Section 1</w:t>
      </w:r>
      <w:r w:rsidR="0003772A">
        <w:rPr>
          <w:b/>
          <w:bCs/>
        </w:rPr>
        <w:t xml:space="preserve"> &amp;2</w:t>
      </w:r>
    </w:p>
    <w:p w14:paraId="03AF3B27" w14:textId="77777777" w:rsidR="00FC55CC" w:rsidRPr="00FC55CC" w:rsidRDefault="00FC55CC" w:rsidP="00FC55CC">
      <w:r w:rsidRPr="00FC55CC">
        <w:t>Work through each prompt, noting:</w:t>
      </w:r>
    </w:p>
    <w:p w14:paraId="747CF180" w14:textId="50268245" w:rsidR="00FC55CC" w:rsidRPr="00FC55CC" w:rsidRDefault="00FC55CC" w:rsidP="00FC55CC">
      <w:pPr>
        <w:numPr>
          <w:ilvl w:val="0"/>
          <w:numId w:val="4"/>
        </w:numPr>
      </w:pPr>
      <w:r w:rsidRPr="00FC55CC">
        <w:rPr>
          <w:b/>
          <w:bCs/>
        </w:rPr>
        <w:t>Strengths</w:t>
      </w:r>
      <w:r w:rsidRPr="00FC55CC">
        <w:t xml:space="preserve"> (what is working well and supports learners)</w:t>
      </w:r>
      <w:r w:rsidR="0003772A">
        <w:t>- write down at least one example</w:t>
      </w:r>
    </w:p>
    <w:p w14:paraId="7849AD63" w14:textId="77777777" w:rsidR="00FC55CC" w:rsidRPr="00FC55CC" w:rsidRDefault="00FC55CC" w:rsidP="00FC55CC">
      <w:pPr>
        <w:numPr>
          <w:ilvl w:val="0"/>
          <w:numId w:val="4"/>
        </w:numPr>
      </w:pPr>
      <w:r w:rsidRPr="00FC55CC">
        <w:rPr>
          <w:b/>
          <w:bCs/>
        </w:rPr>
        <w:t>Weaknesses or barriers</w:t>
      </w:r>
      <w:r w:rsidRPr="00FC55CC">
        <w:t xml:space="preserve"> (areas that may cause confusion, distraction, or difficulty)</w:t>
      </w:r>
    </w:p>
    <w:p w14:paraId="3D8DB2C4" w14:textId="213F945E" w:rsidR="00FC55CC" w:rsidRPr="00FC55CC" w:rsidRDefault="00FC55CC" w:rsidP="00FC55CC">
      <w:pPr>
        <w:numPr>
          <w:ilvl w:val="0"/>
          <w:numId w:val="4"/>
        </w:numPr>
      </w:pPr>
      <w:r w:rsidRPr="00FC55CC">
        <w:rPr>
          <w:b/>
          <w:bCs/>
        </w:rPr>
        <w:t>Possible adjustments</w:t>
      </w:r>
      <w:r w:rsidR="0003772A">
        <w:rPr>
          <w:b/>
          <w:bCs/>
        </w:rPr>
        <w:t>/ actions required</w:t>
      </w:r>
      <w:r w:rsidRPr="00FC55CC">
        <w:t xml:space="preserve"> (practical changes that could improve the space)</w:t>
      </w:r>
    </w:p>
    <w:p w14:paraId="783BA011" w14:textId="7C8FE36D" w:rsidR="00FC55CC" w:rsidRPr="00FC55CC" w:rsidRDefault="00242BCF" w:rsidP="00FC55CC">
      <w:r>
        <w:pict w14:anchorId="5975F0FC">
          <v:rect id="_x0000_i1030" style="width:0;height:1.5pt" o:hralign="center" o:hrstd="t" o:hr="t" fillcolor="#a0a0a0" stroked="f"/>
        </w:pict>
      </w:r>
    </w:p>
    <w:p w14:paraId="2278B4D9" w14:textId="1919599F" w:rsidR="00FC55CC" w:rsidRPr="00FC55CC" w:rsidRDefault="0003772A" w:rsidP="00FC55CC">
      <w:pPr>
        <w:rPr>
          <w:b/>
          <w:bCs/>
        </w:rPr>
      </w:pPr>
      <w:r>
        <w:rPr>
          <w:b/>
          <w:bCs/>
        </w:rPr>
        <w:t>4</w:t>
      </w:r>
      <w:r w:rsidR="00FC55CC" w:rsidRPr="00FC55CC">
        <w:rPr>
          <w:b/>
          <w:bCs/>
        </w:rPr>
        <w:t>. Summarise Key Findings</w:t>
      </w:r>
    </w:p>
    <w:p w14:paraId="0BBEA84D" w14:textId="77777777" w:rsidR="00FC55CC" w:rsidRPr="00FC55CC" w:rsidRDefault="00FC55CC" w:rsidP="00FC55CC">
      <w:r w:rsidRPr="00FC55CC">
        <w:t>At the end of both sections, briefly summarise:</w:t>
      </w:r>
    </w:p>
    <w:p w14:paraId="2C4B3FAE" w14:textId="77777777" w:rsidR="00FC55CC" w:rsidRPr="00FC55CC" w:rsidRDefault="00FC55CC" w:rsidP="00FC55CC">
      <w:pPr>
        <w:numPr>
          <w:ilvl w:val="0"/>
          <w:numId w:val="7"/>
        </w:numPr>
      </w:pPr>
      <w:r w:rsidRPr="00FC55CC">
        <w:t>What the environment currently does well</w:t>
      </w:r>
    </w:p>
    <w:p w14:paraId="5DD6C868" w14:textId="77777777" w:rsidR="00FC55CC" w:rsidRPr="00FC55CC" w:rsidRDefault="00FC55CC" w:rsidP="00FC55CC">
      <w:pPr>
        <w:numPr>
          <w:ilvl w:val="0"/>
          <w:numId w:val="7"/>
        </w:numPr>
      </w:pPr>
      <w:r w:rsidRPr="00FC55CC">
        <w:t>Which areas would benefit from small changes</w:t>
      </w:r>
    </w:p>
    <w:p w14:paraId="13D32197" w14:textId="77777777" w:rsidR="00FC55CC" w:rsidRPr="00FC55CC" w:rsidRDefault="00FC55CC" w:rsidP="00FC55CC">
      <w:pPr>
        <w:numPr>
          <w:ilvl w:val="0"/>
          <w:numId w:val="7"/>
        </w:numPr>
      </w:pPr>
      <w:r w:rsidRPr="00FC55CC">
        <w:t>Which actions you plan to trial</w:t>
      </w:r>
    </w:p>
    <w:p w14:paraId="25BC4F3C" w14:textId="77777777" w:rsidR="00FC55CC" w:rsidRPr="00FC55CC" w:rsidRDefault="00FC55CC" w:rsidP="00FC55CC">
      <w:r w:rsidRPr="00FC55CC">
        <w:t xml:space="preserve">Keep the focus on being </w:t>
      </w:r>
      <w:r w:rsidRPr="00FC55CC">
        <w:rPr>
          <w:i/>
          <w:iCs/>
        </w:rPr>
        <w:t>practical, realistic, and child</w:t>
      </w:r>
      <w:r w:rsidRPr="00FC55CC">
        <w:rPr>
          <w:i/>
          <w:iCs/>
        </w:rPr>
        <w:noBreakHyphen/>
        <w:t>centred</w:t>
      </w:r>
      <w:r w:rsidRPr="00FC55CC">
        <w:t>.</w:t>
      </w:r>
    </w:p>
    <w:p w14:paraId="44387F2C" w14:textId="77777777" w:rsidR="00FC55CC" w:rsidRPr="00FC55CC" w:rsidRDefault="00242BCF" w:rsidP="00FC55CC">
      <w:r>
        <w:pict w14:anchorId="604E185C">
          <v:rect id="_x0000_i1032" style="width:0;height:1.5pt" o:hralign="center" o:hrstd="t" o:hr="t" fillcolor="#a0a0a0" stroked="f"/>
        </w:pict>
      </w:r>
    </w:p>
    <w:p w14:paraId="467394AC" w14:textId="354C376C" w:rsidR="00FC55CC" w:rsidRPr="00FC55CC" w:rsidRDefault="0003772A" w:rsidP="00FC55CC">
      <w:pPr>
        <w:rPr>
          <w:b/>
          <w:bCs/>
        </w:rPr>
      </w:pPr>
      <w:r>
        <w:rPr>
          <w:b/>
          <w:bCs/>
        </w:rPr>
        <w:t>5</w:t>
      </w:r>
      <w:r w:rsidR="00FC55CC" w:rsidRPr="00FC55CC">
        <w:rPr>
          <w:b/>
          <w:bCs/>
        </w:rPr>
        <w:t>. Trial the Suggested Adjustments</w:t>
      </w:r>
    </w:p>
    <w:p w14:paraId="5B1B7495" w14:textId="77777777" w:rsidR="00FC55CC" w:rsidRPr="00FC55CC" w:rsidRDefault="00FC55CC" w:rsidP="00FC55CC">
      <w:r w:rsidRPr="00FC55CC">
        <w:t>Put the identified changes in place. These may be small tweaks (e.g., reducing wall clutter) or slightly bigger shifts (e.g., adjusting seating layouts).</w:t>
      </w:r>
    </w:p>
    <w:p w14:paraId="475459C3" w14:textId="77777777" w:rsidR="00FC55CC" w:rsidRPr="00FC55CC" w:rsidRDefault="00FC55CC" w:rsidP="00FC55CC">
      <w:r w:rsidRPr="00FC55CC">
        <w:t>Remember: this is not about perfection—just continuous improvement.</w:t>
      </w:r>
    </w:p>
    <w:p w14:paraId="0A045B52" w14:textId="77777777" w:rsidR="00FC55CC" w:rsidRPr="00FC55CC" w:rsidRDefault="00242BCF" w:rsidP="00FC55CC">
      <w:r>
        <w:pict w14:anchorId="2F095F9C">
          <v:rect id="_x0000_i1033" style="width:0;height:1.5pt" o:hralign="center" o:hrstd="t" o:hr="t" fillcolor="#a0a0a0" stroked="f"/>
        </w:pict>
      </w:r>
    </w:p>
    <w:p w14:paraId="64300538" w14:textId="6A613EB4" w:rsidR="00FC55CC" w:rsidRPr="00FC55CC" w:rsidRDefault="0003772A" w:rsidP="00FC55CC">
      <w:pPr>
        <w:rPr>
          <w:b/>
          <w:bCs/>
        </w:rPr>
      </w:pPr>
      <w:r>
        <w:rPr>
          <w:b/>
          <w:bCs/>
        </w:rPr>
        <w:t>6</w:t>
      </w:r>
      <w:r w:rsidR="00FC55CC" w:rsidRPr="00FC55CC">
        <w:rPr>
          <w:b/>
          <w:bCs/>
        </w:rPr>
        <w:t>. Review and Reflect After a Set Period</w:t>
      </w:r>
    </w:p>
    <w:p w14:paraId="21452A89" w14:textId="516E1057" w:rsidR="00FC55CC" w:rsidRPr="00FC55CC" w:rsidRDefault="00FC55CC" w:rsidP="00FC55CC">
      <w:r w:rsidRPr="00FC55CC">
        <w:t xml:space="preserve">After an agreed timeframe (e.g., </w:t>
      </w:r>
      <w:r w:rsidR="0003772A">
        <w:t>a month</w:t>
      </w:r>
      <w:r w:rsidRPr="00FC55CC">
        <w:t xml:space="preserve"> or </w:t>
      </w:r>
      <w:r w:rsidR="0003772A">
        <w:t xml:space="preserve">a </w:t>
      </w:r>
      <w:r w:rsidRPr="00FC55CC">
        <w:t>half</w:t>
      </w:r>
      <w:r w:rsidR="0003772A">
        <w:t>-</w:t>
      </w:r>
      <w:r w:rsidRPr="00FC55CC">
        <w:t>term):</w:t>
      </w:r>
    </w:p>
    <w:p w14:paraId="757D808A" w14:textId="77777777" w:rsidR="00FC55CC" w:rsidRPr="00FC55CC" w:rsidRDefault="00FC55CC" w:rsidP="00FC55CC">
      <w:pPr>
        <w:numPr>
          <w:ilvl w:val="0"/>
          <w:numId w:val="8"/>
        </w:numPr>
      </w:pPr>
      <w:r w:rsidRPr="00FC55CC">
        <w:t>Reflect on whether the changes had the intended impact</w:t>
      </w:r>
    </w:p>
    <w:p w14:paraId="6AB925DE" w14:textId="77777777" w:rsidR="00FC55CC" w:rsidRPr="00FC55CC" w:rsidRDefault="00FC55CC" w:rsidP="00FC55CC">
      <w:pPr>
        <w:numPr>
          <w:ilvl w:val="0"/>
          <w:numId w:val="8"/>
        </w:numPr>
      </w:pPr>
      <w:r w:rsidRPr="00FC55CC">
        <w:t xml:space="preserve">Note what </w:t>
      </w:r>
      <w:r w:rsidRPr="00FC55CC">
        <w:rPr>
          <w:b/>
          <w:bCs/>
        </w:rPr>
        <w:t>worked well</w:t>
      </w:r>
      <w:r w:rsidRPr="00FC55CC">
        <w:t xml:space="preserve">, what </w:t>
      </w:r>
      <w:r w:rsidRPr="00FC55CC">
        <w:rPr>
          <w:b/>
          <w:bCs/>
        </w:rPr>
        <w:t>didn’t</w:t>
      </w:r>
      <w:r w:rsidRPr="00FC55CC">
        <w:t xml:space="preserve">, and what you </w:t>
      </w:r>
      <w:r w:rsidRPr="00FC55CC">
        <w:rPr>
          <w:b/>
          <w:bCs/>
        </w:rPr>
        <w:t>observed from the children</w:t>
      </w:r>
    </w:p>
    <w:p w14:paraId="5BEE99AD" w14:textId="77777777" w:rsidR="00FC55CC" w:rsidRPr="00FC55CC" w:rsidRDefault="00FC55CC" w:rsidP="00FC55CC">
      <w:r w:rsidRPr="00FC55CC">
        <w:t>If changes were not effective, you can:</w:t>
      </w:r>
    </w:p>
    <w:p w14:paraId="6B8A6E7E" w14:textId="77777777" w:rsidR="00FC55CC" w:rsidRPr="00FC55CC" w:rsidRDefault="00FC55CC" w:rsidP="00FC55CC">
      <w:pPr>
        <w:numPr>
          <w:ilvl w:val="0"/>
          <w:numId w:val="9"/>
        </w:numPr>
      </w:pPr>
      <w:r w:rsidRPr="00FC55CC">
        <w:t>Return to the original setup, or</w:t>
      </w:r>
    </w:p>
    <w:p w14:paraId="38BDC026" w14:textId="77777777" w:rsidR="00FC55CC" w:rsidRPr="00FC55CC" w:rsidRDefault="00FC55CC" w:rsidP="00FC55CC">
      <w:pPr>
        <w:numPr>
          <w:ilvl w:val="0"/>
          <w:numId w:val="9"/>
        </w:numPr>
      </w:pPr>
      <w:r w:rsidRPr="00FC55CC">
        <w:t>Try an alternative approach suggested during the audit</w:t>
      </w:r>
    </w:p>
    <w:p w14:paraId="62814CB1" w14:textId="77777777" w:rsidR="00FC55CC" w:rsidRPr="00FC55CC" w:rsidRDefault="00FC55CC" w:rsidP="00FC55CC">
      <w:r w:rsidRPr="00FC55CC">
        <w:lastRenderedPageBreak/>
        <w:t>Both outcomes are valuable learning.</w:t>
      </w:r>
    </w:p>
    <w:p w14:paraId="156808CE" w14:textId="77777777" w:rsidR="00FC55CC" w:rsidRPr="00FC55CC" w:rsidRDefault="00242BCF" w:rsidP="00FC55CC">
      <w:r>
        <w:pict w14:anchorId="15A5A384">
          <v:rect id="_x0000_i1034" style="width:0;height:1.5pt" o:hralign="center" o:hrstd="t" o:hr="t" fillcolor="#a0a0a0" stroked="f"/>
        </w:pict>
      </w:r>
    </w:p>
    <w:p w14:paraId="53268CE5" w14:textId="6D384529" w:rsidR="00FC55CC" w:rsidRPr="00FC55CC" w:rsidRDefault="0003772A" w:rsidP="00FC55CC">
      <w:pPr>
        <w:rPr>
          <w:b/>
          <w:bCs/>
        </w:rPr>
      </w:pPr>
      <w:r>
        <w:rPr>
          <w:b/>
          <w:bCs/>
        </w:rPr>
        <w:t>7</w:t>
      </w:r>
      <w:r w:rsidR="00FC55CC" w:rsidRPr="00FC55CC">
        <w:rPr>
          <w:b/>
          <w:bCs/>
        </w:rPr>
        <w:t>. Keep the Audit as Evidence of Inclusive Practice</w:t>
      </w:r>
    </w:p>
    <w:p w14:paraId="08F800AA" w14:textId="77777777" w:rsidR="00FC55CC" w:rsidRPr="00FC55CC" w:rsidRDefault="00FC55CC" w:rsidP="00FC55CC">
      <w:r w:rsidRPr="00FC55CC">
        <w:t>Completed audit sheets provide:</w:t>
      </w:r>
    </w:p>
    <w:p w14:paraId="2D3E3A92" w14:textId="77777777" w:rsidR="00FC55CC" w:rsidRPr="00FC55CC" w:rsidRDefault="00FC55CC" w:rsidP="00FC55CC">
      <w:pPr>
        <w:numPr>
          <w:ilvl w:val="0"/>
          <w:numId w:val="10"/>
        </w:numPr>
      </w:pPr>
      <w:r w:rsidRPr="00FC55CC">
        <w:t>A record of the school’s ongoing commitment to accessibility</w:t>
      </w:r>
    </w:p>
    <w:p w14:paraId="4759D173" w14:textId="77777777" w:rsidR="00FC55CC" w:rsidRPr="00FC55CC" w:rsidRDefault="00FC55CC" w:rsidP="00FC55CC">
      <w:pPr>
        <w:numPr>
          <w:ilvl w:val="0"/>
          <w:numId w:val="10"/>
        </w:numPr>
      </w:pPr>
      <w:r w:rsidRPr="00FC55CC">
        <w:t>Clear evidence for inspections, SEND reviews, behaviour audits, or strategic planning</w:t>
      </w:r>
    </w:p>
    <w:p w14:paraId="5BC4FD85" w14:textId="77777777" w:rsidR="00FC55CC" w:rsidRPr="00FC55CC" w:rsidRDefault="00FC55CC" w:rsidP="00FC55CC">
      <w:pPr>
        <w:numPr>
          <w:ilvl w:val="0"/>
          <w:numId w:val="10"/>
        </w:numPr>
      </w:pPr>
      <w:r w:rsidRPr="00FC55CC">
        <w:t>A way to demonstrate how environments are adapted responsively for pupils’ needs</w:t>
      </w:r>
    </w:p>
    <w:p w14:paraId="2F3EC1DE" w14:textId="77777777" w:rsidR="00FC55CC" w:rsidRPr="00FC55CC" w:rsidRDefault="00FC55CC" w:rsidP="00FC55CC">
      <w:r w:rsidRPr="00FC55CC">
        <w:t xml:space="preserve">This turns the audit into a practical tool </w:t>
      </w:r>
      <w:r w:rsidRPr="00FC55CC">
        <w:rPr>
          <w:i/>
          <w:iCs/>
        </w:rPr>
        <w:t>and</w:t>
      </w:r>
      <w:r w:rsidRPr="00FC55CC">
        <w:t xml:space="preserve"> a source of meaningful documentation.</w:t>
      </w:r>
    </w:p>
    <w:p w14:paraId="6047773B" w14:textId="77777777" w:rsidR="001B4A14" w:rsidRDefault="001B4A14"/>
    <w:sectPr w:rsidR="001B4A14">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896D0" w14:textId="77777777" w:rsidR="00242BCF" w:rsidRDefault="00242BCF" w:rsidP="00E46FBB">
      <w:pPr>
        <w:spacing w:after="0" w:line="240" w:lineRule="auto"/>
      </w:pPr>
      <w:r>
        <w:separator/>
      </w:r>
    </w:p>
  </w:endnote>
  <w:endnote w:type="continuationSeparator" w:id="0">
    <w:p w14:paraId="58C41254" w14:textId="77777777" w:rsidR="00242BCF" w:rsidRDefault="00242BCF" w:rsidP="00E46F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9BE31" w14:textId="1D101ABA" w:rsidR="00E46FBB" w:rsidRPr="00E46FBB" w:rsidRDefault="00E46FBB">
    <w:pPr>
      <w:pStyle w:val="Footer"/>
      <w:rPr>
        <w:sz w:val="20"/>
        <w:szCs w:val="20"/>
      </w:rPr>
    </w:pPr>
    <w:r w:rsidRPr="00E46FBB">
      <w:rPr>
        <w:sz w:val="20"/>
        <w:szCs w:val="20"/>
      </w:rPr>
      <w:t>Revieved by Paediatric OT Team- January 2026</w:t>
    </w:r>
  </w:p>
  <w:p w14:paraId="4D497668" w14:textId="77777777" w:rsidR="00E46FBB" w:rsidRDefault="00E46F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59F8E" w14:textId="77777777" w:rsidR="00242BCF" w:rsidRDefault="00242BCF" w:rsidP="00E46FBB">
      <w:pPr>
        <w:spacing w:after="0" w:line="240" w:lineRule="auto"/>
      </w:pPr>
      <w:r>
        <w:separator/>
      </w:r>
    </w:p>
  </w:footnote>
  <w:footnote w:type="continuationSeparator" w:id="0">
    <w:p w14:paraId="2EC6FE6E" w14:textId="77777777" w:rsidR="00242BCF" w:rsidRDefault="00242BCF" w:rsidP="00E46F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479EC"/>
    <w:multiLevelType w:val="multilevel"/>
    <w:tmpl w:val="6186B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6814B1"/>
    <w:multiLevelType w:val="multilevel"/>
    <w:tmpl w:val="11B6E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4C3EB1"/>
    <w:multiLevelType w:val="multilevel"/>
    <w:tmpl w:val="94FE6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0B7AB9"/>
    <w:multiLevelType w:val="multilevel"/>
    <w:tmpl w:val="BFBC1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DC1371"/>
    <w:multiLevelType w:val="multilevel"/>
    <w:tmpl w:val="08D07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FE1A8F"/>
    <w:multiLevelType w:val="multilevel"/>
    <w:tmpl w:val="0B260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1722A5"/>
    <w:multiLevelType w:val="multilevel"/>
    <w:tmpl w:val="86E43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A37F1D"/>
    <w:multiLevelType w:val="multilevel"/>
    <w:tmpl w:val="7AD25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BF64B2"/>
    <w:multiLevelType w:val="multilevel"/>
    <w:tmpl w:val="A7AE4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7C627AE"/>
    <w:multiLevelType w:val="multilevel"/>
    <w:tmpl w:val="FE9C6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88622826">
    <w:abstractNumId w:val="2"/>
  </w:num>
  <w:num w:numId="2" w16cid:durableId="1584100788">
    <w:abstractNumId w:val="1"/>
  </w:num>
  <w:num w:numId="3" w16cid:durableId="780688860">
    <w:abstractNumId w:val="5"/>
  </w:num>
  <w:num w:numId="4" w16cid:durableId="1035546482">
    <w:abstractNumId w:val="3"/>
  </w:num>
  <w:num w:numId="5" w16cid:durableId="2071612425">
    <w:abstractNumId w:val="8"/>
  </w:num>
  <w:num w:numId="6" w16cid:durableId="1151022707">
    <w:abstractNumId w:val="6"/>
  </w:num>
  <w:num w:numId="7" w16cid:durableId="330985225">
    <w:abstractNumId w:val="4"/>
  </w:num>
  <w:num w:numId="8" w16cid:durableId="1544828252">
    <w:abstractNumId w:val="0"/>
  </w:num>
  <w:num w:numId="9" w16cid:durableId="1654404102">
    <w:abstractNumId w:val="7"/>
  </w:num>
  <w:num w:numId="10" w16cid:durableId="80879026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5CC"/>
    <w:rsid w:val="0003772A"/>
    <w:rsid w:val="000E01EB"/>
    <w:rsid w:val="001B4A14"/>
    <w:rsid w:val="00242BCF"/>
    <w:rsid w:val="00323EA5"/>
    <w:rsid w:val="00425D59"/>
    <w:rsid w:val="008E6C49"/>
    <w:rsid w:val="00D6144B"/>
    <w:rsid w:val="00E46FBB"/>
    <w:rsid w:val="00FC55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6890C"/>
  <w15:chartTrackingRefBased/>
  <w15:docId w15:val="{FDA6050A-57C0-47EB-B77B-F4A60DB31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55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55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55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55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55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55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55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55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55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55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55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55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55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55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55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55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55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55CC"/>
    <w:rPr>
      <w:rFonts w:eastAsiaTheme="majorEastAsia" w:cstheme="majorBidi"/>
      <w:color w:val="272727" w:themeColor="text1" w:themeTint="D8"/>
    </w:rPr>
  </w:style>
  <w:style w:type="paragraph" w:styleId="Title">
    <w:name w:val="Title"/>
    <w:basedOn w:val="Normal"/>
    <w:next w:val="Normal"/>
    <w:link w:val="TitleChar"/>
    <w:uiPriority w:val="10"/>
    <w:qFormat/>
    <w:rsid w:val="00FC55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55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55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55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55CC"/>
    <w:pPr>
      <w:spacing w:before="160"/>
      <w:jc w:val="center"/>
    </w:pPr>
    <w:rPr>
      <w:i/>
      <w:iCs/>
      <w:color w:val="404040" w:themeColor="text1" w:themeTint="BF"/>
    </w:rPr>
  </w:style>
  <w:style w:type="character" w:customStyle="1" w:styleId="QuoteChar">
    <w:name w:val="Quote Char"/>
    <w:basedOn w:val="DefaultParagraphFont"/>
    <w:link w:val="Quote"/>
    <w:uiPriority w:val="29"/>
    <w:rsid w:val="00FC55CC"/>
    <w:rPr>
      <w:i/>
      <w:iCs/>
      <w:color w:val="404040" w:themeColor="text1" w:themeTint="BF"/>
    </w:rPr>
  </w:style>
  <w:style w:type="paragraph" w:styleId="ListParagraph">
    <w:name w:val="List Paragraph"/>
    <w:basedOn w:val="Normal"/>
    <w:uiPriority w:val="34"/>
    <w:qFormat/>
    <w:rsid w:val="00FC55CC"/>
    <w:pPr>
      <w:ind w:left="720"/>
      <w:contextualSpacing/>
    </w:pPr>
  </w:style>
  <w:style w:type="character" w:styleId="IntenseEmphasis">
    <w:name w:val="Intense Emphasis"/>
    <w:basedOn w:val="DefaultParagraphFont"/>
    <w:uiPriority w:val="21"/>
    <w:qFormat/>
    <w:rsid w:val="00FC55CC"/>
    <w:rPr>
      <w:i/>
      <w:iCs/>
      <w:color w:val="0F4761" w:themeColor="accent1" w:themeShade="BF"/>
    </w:rPr>
  </w:style>
  <w:style w:type="paragraph" w:styleId="IntenseQuote">
    <w:name w:val="Intense Quote"/>
    <w:basedOn w:val="Normal"/>
    <w:next w:val="Normal"/>
    <w:link w:val="IntenseQuoteChar"/>
    <w:uiPriority w:val="30"/>
    <w:qFormat/>
    <w:rsid w:val="00FC55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55CC"/>
    <w:rPr>
      <w:i/>
      <w:iCs/>
      <w:color w:val="0F4761" w:themeColor="accent1" w:themeShade="BF"/>
    </w:rPr>
  </w:style>
  <w:style w:type="character" w:styleId="IntenseReference">
    <w:name w:val="Intense Reference"/>
    <w:basedOn w:val="DefaultParagraphFont"/>
    <w:uiPriority w:val="32"/>
    <w:qFormat/>
    <w:rsid w:val="00FC55CC"/>
    <w:rPr>
      <w:b/>
      <w:bCs/>
      <w:smallCaps/>
      <w:color w:val="0F4761" w:themeColor="accent1" w:themeShade="BF"/>
      <w:spacing w:val="5"/>
    </w:rPr>
  </w:style>
  <w:style w:type="paragraph" w:styleId="Header">
    <w:name w:val="header"/>
    <w:basedOn w:val="Normal"/>
    <w:link w:val="HeaderChar"/>
    <w:uiPriority w:val="99"/>
    <w:unhideWhenUsed/>
    <w:rsid w:val="00E46F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6FBB"/>
  </w:style>
  <w:style w:type="paragraph" w:styleId="Footer">
    <w:name w:val="footer"/>
    <w:basedOn w:val="Normal"/>
    <w:link w:val="FooterChar"/>
    <w:uiPriority w:val="99"/>
    <w:unhideWhenUsed/>
    <w:rsid w:val="00E46F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6F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113</TotalTime>
  <Pages>5</Pages>
  <Words>1099</Words>
  <Characters>6269</Characters>
  <Application>Microsoft Office Word</Application>
  <DocSecurity>0</DocSecurity>
  <Lines>52</Lines>
  <Paragraphs>14</Paragraphs>
  <ScaleCrop>false</ScaleCrop>
  <Company/>
  <LinksUpToDate>false</LinksUpToDate>
  <CharactersWithSpaces>7354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FFITCH, James (SOUTH TEES HOSPITALS NHS FOUNDATION TRUST)</dc:creator>
  <cp:keywords/>
  <dc:description/>
  <cp:lastModifiedBy>MALAN, Louisa (SOUTH TEES HOSPITALS NHS FOUNDATION TRUST)</cp:lastModifiedBy>
  <cp:revision>3</cp:revision>
  <dcterms:created xsi:type="dcterms:W3CDTF">2026-01-21T09:09:00Z</dcterms:created>
  <dcterms:modified xsi:type="dcterms:W3CDTF">2026-01-22T06:02:00Z</dcterms:modified>
</cp:coreProperties>
</file>